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F2E" w:rsidRDefault="00743C43">
      <w:pPr>
        <w:pStyle w:val="z-TopofForm"/>
      </w:pPr>
      <w:r>
        <w:t>Top of Form</w:t>
      </w:r>
    </w:p>
    <w:p w:rsidR="007C4F2E" w:rsidRDefault="00743C43" w:rsidP="00FA2BC9">
      <w:pPr>
        <w:divId w:val="1959677931"/>
        <w:rPr>
          <w:rFonts w:eastAsia="Times New Roman"/>
        </w:rPr>
      </w:pPr>
      <w:r>
        <w:rPr>
          <w:rFonts w:eastAsia="Times New Roma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style="width:1in;height:18.1pt" o:ole="">
            <v:imagedata r:id="rId7" o:title=""/>
          </v:shape>
          <w:control r:id="rId8" w:name="DefaultOcxName" w:shapeid="_x0000_i1048"/>
        </w:object>
      </w:r>
      <w:r>
        <w:rPr>
          <w:rFonts w:eastAsia="Times New Roman"/>
        </w:rPr>
        <w:object w:dxaOrig="1440" w:dyaOrig="1440">
          <v:shape id="_x0000_i1051" type="#_x0000_t75" style="width:1in;height:18.1pt" o:ole="">
            <v:imagedata r:id="rId7" o:title=""/>
          </v:shape>
          <w:control r:id="rId9" w:name="DefaultOcxName1" w:shapeid="_x0000_i1051"/>
        </w:object>
      </w:r>
      <w:r>
        <w:rPr>
          <w:rFonts w:eastAsia="Times New Roman"/>
        </w:rPr>
        <w:object w:dxaOrig="1440" w:dyaOrig="1440">
          <v:shape id="_x0000_i1054" type="#_x0000_t75" style="width:1in;height:18.1pt" o:ole="">
            <v:imagedata r:id="rId10" o:title=""/>
          </v:shape>
          <w:control r:id="rId11" w:name="DefaultOcxName2" w:shapeid="_x0000_i1054"/>
        </w:object>
      </w:r>
      <w:r>
        <w:rPr>
          <w:rFonts w:eastAsia="Times New Roman"/>
        </w:rPr>
        <w:object w:dxaOrig="1440" w:dyaOrig="1440">
          <v:shape id="_x0000_i1057" type="#_x0000_t75" style="width:1in;height:18.1pt" o:ole="">
            <v:imagedata r:id="rId12" o:title=""/>
          </v:shape>
          <w:control r:id="rId13" w:name="DefaultOcxName3" w:shapeid="_x0000_i1057"/>
        </w:object>
      </w:r>
    </w:p>
    <w:p w:rsidR="007C4F2E" w:rsidRDefault="00743C43">
      <w:pPr>
        <w:shd w:val="clear" w:color="auto" w:fill="FFFFFF"/>
        <w:jc w:val="center"/>
        <w:divId w:val="39936589"/>
        <w:rPr>
          <w:rFonts w:eastAsia="Times New Roman"/>
          <w:vanish/>
        </w:rPr>
      </w:pPr>
      <w:r>
        <w:rPr>
          <w:rFonts w:eastAsia="Times New Roman"/>
          <w:noProof/>
          <w:vanish/>
        </w:rPr>
        <w:drawing>
          <wp:inline distT="0" distB="0" distL="0" distR="0" wp14:anchorId="1FAA8A97" wp14:editId="6C938BC2">
            <wp:extent cx="304800" cy="304800"/>
            <wp:effectExtent l="0" t="0" r="0" b="0"/>
            <wp:docPr id="12" name="ctl00_imgProgress" descr="C:\Users\Tun Abdul Hamid\Documents\JUDGMENTS REPORTED IN CLJ\images\ajax-loader_circ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imgProgress" descr="C:\Users\Tun Abdul Hamid\Documents\JUDGMENTS REPORTED IN CLJ\images\ajax-loader_circle.gif"/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8996"/>
      </w:tblGrid>
      <w:tr w:rsidR="007C4F2E">
        <w:trPr>
          <w:divId w:val="668751542"/>
          <w:tblCellSpacing w:w="0" w:type="dxa"/>
          <w:jc w:val="center"/>
        </w:trPr>
        <w:tc>
          <w:tcPr>
            <w:tcW w:w="0" w:type="auto"/>
            <w:hideMark/>
          </w:tcPr>
          <w:p w:rsidR="007C4F2E" w:rsidRDefault="007C4F2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300" w:type="dxa"/>
                <w:right w:w="300" w:type="dxa"/>
              </w:tblCellMar>
              <w:tblLook w:val="04A0" w:firstRow="1" w:lastRow="0" w:firstColumn="1" w:lastColumn="0" w:noHBand="0" w:noVBand="1"/>
            </w:tblPr>
            <w:tblGrid>
              <w:gridCol w:w="2998"/>
              <w:gridCol w:w="2999"/>
              <w:gridCol w:w="2999"/>
            </w:tblGrid>
            <w:tr w:rsidR="007C4F2E" w:rsidTr="00FA2BC9">
              <w:trPr>
                <w:divId w:val="1483735469"/>
                <w:tblCellSpacing w:w="0" w:type="dxa"/>
              </w:trPr>
              <w:tc>
                <w:tcPr>
                  <w:tcW w:w="0" w:type="auto"/>
                  <w:shd w:val="clear" w:color="auto" w:fill="FFFFFF"/>
                </w:tcPr>
                <w:p w:rsidR="007C4F2E" w:rsidRDefault="007C4F2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bottom"/>
                </w:tcPr>
                <w:p w:rsidR="007C4F2E" w:rsidRDefault="007C4F2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</w:tcPr>
                <w:p w:rsidR="007C4F2E" w:rsidRDefault="007C4F2E">
                  <w:pPr>
                    <w:jc w:val="right"/>
                    <w:rPr>
                      <w:rFonts w:eastAsia="Times New Roman"/>
                    </w:rPr>
                  </w:pPr>
                </w:p>
              </w:tc>
            </w:tr>
            <w:tr w:rsidR="007C4F2E">
              <w:trPr>
                <w:divId w:val="1483735469"/>
                <w:tblCellSpacing w:w="0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:rsidR="007C4F2E" w:rsidRDefault="007C4F2E">
                  <w:pPr>
                    <w:rPr>
                      <w:rFonts w:eastAsia="Times New Roman"/>
                    </w:rPr>
                  </w:pPr>
                </w:p>
              </w:tc>
            </w:tr>
            <w:tr w:rsidR="007C4F2E">
              <w:trPr>
                <w:divId w:val="1483735469"/>
                <w:tblCellSpacing w:w="0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:rsidR="007C4F2E" w:rsidRDefault="007C4F2E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7C4F2E" w:rsidRDefault="007C4F2E">
            <w:pPr>
              <w:rPr>
                <w:rFonts w:eastAsia="Times New Roman"/>
              </w:rPr>
            </w:pPr>
          </w:p>
        </w:tc>
      </w:tr>
    </w:tbl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6"/>
      </w:tblGrid>
      <w:tr w:rsidR="007C4F2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A2BC9" w:rsidRDefault="00743C43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Style w:val="casehighlight"/>
                <w:rFonts w:eastAsia="Times New Roman"/>
              </w:rPr>
              <w:t>Dahari</w:t>
            </w:r>
            <w:proofErr w:type="spellEnd"/>
            <w:r>
              <w:rPr>
                <w:rStyle w:val="casetitle"/>
                <w:rFonts w:eastAsia="Times New Roman"/>
              </w:rPr>
              <w:t> </w:t>
            </w:r>
            <w:proofErr w:type="spellStart"/>
            <w:r>
              <w:rPr>
                <w:rStyle w:val="casehighlight"/>
                <w:rFonts w:eastAsia="Times New Roman"/>
              </w:rPr>
              <w:t>Busu</w:t>
            </w:r>
            <w:proofErr w:type="spellEnd"/>
            <w:r>
              <w:rPr>
                <w:rStyle w:val="casetitle"/>
                <w:rFonts w:eastAsia="Times New Roman"/>
              </w:rPr>
              <w:t xml:space="preserve"> LWN. </w:t>
            </w:r>
            <w:proofErr w:type="spellStart"/>
            <w:r>
              <w:rPr>
                <w:rStyle w:val="casetitle"/>
                <w:rFonts w:eastAsia="Times New Roman"/>
              </w:rPr>
              <w:t>Menteri</w:t>
            </w:r>
            <w:proofErr w:type="spellEnd"/>
            <w:r>
              <w:rPr>
                <w:rStyle w:val="casetitle"/>
                <w:rFonts w:eastAsia="Times New Roman"/>
              </w:rPr>
              <w:t xml:space="preserve"> Hal </w:t>
            </w:r>
            <w:proofErr w:type="spellStart"/>
            <w:r>
              <w:rPr>
                <w:rStyle w:val="casetitle"/>
                <w:rFonts w:eastAsia="Times New Roman"/>
              </w:rPr>
              <w:t>Ehwal</w:t>
            </w:r>
            <w:proofErr w:type="spellEnd"/>
            <w:r>
              <w:rPr>
                <w:rStyle w:val="casetitle"/>
                <w:rFonts w:eastAsia="Times New Roman"/>
              </w:rPr>
              <w:t xml:space="preserve"> </w:t>
            </w:r>
            <w:proofErr w:type="spellStart"/>
            <w:r>
              <w:rPr>
                <w:rStyle w:val="casetitle"/>
                <w:rFonts w:eastAsia="Times New Roman"/>
              </w:rPr>
              <w:t>Dalam</w:t>
            </w:r>
            <w:proofErr w:type="spellEnd"/>
            <w:r>
              <w:rPr>
                <w:rStyle w:val="casetitle"/>
                <w:rFonts w:eastAsia="Times New Roman"/>
              </w:rPr>
              <w:t xml:space="preserve"> </w:t>
            </w:r>
            <w:proofErr w:type="spellStart"/>
            <w:r>
              <w:rPr>
                <w:rStyle w:val="casetitle"/>
                <w:rFonts w:eastAsia="Times New Roman"/>
              </w:rPr>
              <w:t>Negeri</w:t>
            </w:r>
            <w:proofErr w:type="spellEnd"/>
            <w:r>
              <w:rPr>
                <w:rStyle w:val="casetitle"/>
                <w:rFonts w:eastAsia="Times New Roman"/>
              </w:rPr>
              <w:t xml:space="preserve">, Malaysia &amp; Yang </w:t>
            </w:r>
            <w:proofErr w:type="gramStart"/>
            <w:r>
              <w:rPr>
                <w:rStyle w:val="casetitle"/>
                <w:rFonts w:eastAsia="Times New Roman"/>
              </w:rPr>
              <w:t>Lain</w:t>
            </w:r>
            <w:proofErr w:type="gramEnd"/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Mahkamah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Tinggi</w:t>
            </w:r>
            <w:proofErr w:type="spellEnd"/>
            <w:r>
              <w:rPr>
                <w:rFonts w:eastAsia="Times New Roman"/>
              </w:rPr>
              <w:t xml:space="preserve"> Malaya, </w:t>
            </w:r>
            <w:proofErr w:type="spellStart"/>
            <w:r>
              <w:rPr>
                <w:rFonts w:eastAsia="Times New Roman"/>
              </w:rPr>
              <w:t>Pulau</w:t>
            </w:r>
            <w:proofErr w:type="spellEnd"/>
            <w:r>
              <w:rPr>
                <w:rFonts w:eastAsia="Times New Roman"/>
              </w:rPr>
              <w:t xml:space="preserve"> Pinang</w:t>
            </w:r>
            <w:r>
              <w:rPr>
                <w:rFonts w:eastAsia="Times New Roman"/>
              </w:rPr>
              <w:br/>
              <w:t>ABDUL HAMID MOHAMAD</w:t>
            </w:r>
            <w:r>
              <w:rPr>
                <w:rFonts w:eastAsia="Times New Roman"/>
              </w:rPr>
              <w:br/>
              <w:t>PERMOHONAN JENAYAH NO. 44-90-90</w:t>
            </w:r>
            <w:r>
              <w:rPr>
                <w:rFonts w:eastAsia="Times New Roman"/>
              </w:rPr>
              <w:br/>
              <w:t>7 MAC 1991</w:t>
            </w:r>
          </w:p>
          <w:p w:rsidR="007C4F2E" w:rsidRDefault="00FA2BC9" w:rsidP="00FA2BC9">
            <w:pPr>
              <w:jc w:val="center"/>
              <w:rPr>
                <w:rFonts w:eastAsia="Times New Roman"/>
              </w:rPr>
            </w:pPr>
            <w:r>
              <w:rPr>
                <w:rStyle w:val="casetitle"/>
                <w:rFonts w:eastAsia="Times New Roman"/>
              </w:rPr>
              <w:t>[1991] 1 CLJ Rep 577</w:t>
            </w:r>
            <w:r>
              <w:rPr>
                <w:rStyle w:val="casetitle"/>
                <w:rFonts w:eastAsia="Times New Roman"/>
              </w:rPr>
              <w:t xml:space="preserve">; </w:t>
            </w:r>
            <w:r>
              <w:rPr>
                <w:rStyle w:val="Title1"/>
                <w:rFonts w:eastAsia="Times New Roman"/>
              </w:rPr>
              <w:t>[1991] 2 CLJ 1128</w:t>
            </w:r>
          </w:p>
        </w:tc>
      </w:tr>
    </w:tbl>
    <w:p w:rsidR="007C4F2E" w:rsidRDefault="007C4F2E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6"/>
      </w:tblGrid>
      <w:tr w:rsidR="007C4F2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F2E" w:rsidRDefault="007C4F2E">
            <w:pPr>
              <w:jc w:val="both"/>
              <w:rPr>
                <w:rFonts w:eastAsia="Times New Roman"/>
              </w:rPr>
            </w:pPr>
          </w:p>
        </w:tc>
      </w:tr>
      <w:tr w:rsidR="007C4F2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F2E" w:rsidRDefault="00743C43">
            <w:pPr>
              <w:jc w:val="both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TAHANAN PENCEGAHAN</w:t>
            </w:r>
            <w:r>
              <w:rPr>
                <w:rFonts w:eastAsia="Times New Roman"/>
                <w:i/>
                <w:iCs/>
              </w:rPr>
              <w:t xml:space="preserve">: </w:t>
            </w:r>
            <w:proofErr w:type="spellStart"/>
            <w:r>
              <w:rPr>
                <w:rFonts w:eastAsia="Times New Roman"/>
                <w:i/>
                <w:iCs/>
              </w:rPr>
              <w:t>Perintah</w:t>
            </w:r>
            <w:proofErr w:type="spellEnd"/>
            <w:r>
              <w:rPr>
                <w:rFonts w:eastAsia="Times New Roman"/>
                <w:i/>
                <w:iCs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</w:rPr>
              <w:t>tahanan</w:t>
            </w:r>
            <w:proofErr w:type="spellEnd"/>
            <w:r>
              <w:rPr>
                <w:rFonts w:eastAsia="Times New Roman"/>
                <w:i/>
                <w:iCs/>
              </w:rPr>
              <w:t xml:space="preserve"> - </w:t>
            </w:r>
            <w:proofErr w:type="spellStart"/>
            <w:r>
              <w:rPr>
                <w:rFonts w:eastAsia="Times New Roman"/>
                <w:i/>
                <w:iCs/>
              </w:rPr>
              <w:t>Keesahan</w:t>
            </w:r>
            <w:proofErr w:type="spellEnd"/>
            <w:r>
              <w:rPr>
                <w:rFonts w:eastAsia="Times New Roman"/>
                <w:i/>
                <w:iCs/>
              </w:rPr>
              <w:t xml:space="preserve"> - </w:t>
            </w:r>
            <w:proofErr w:type="spellStart"/>
            <w:r>
              <w:rPr>
                <w:rFonts w:eastAsia="Times New Roman"/>
                <w:i/>
                <w:iCs/>
              </w:rPr>
              <w:t>Laporan</w:t>
            </w:r>
            <w:proofErr w:type="spellEnd"/>
            <w:r>
              <w:rPr>
                <w:rFonts w:eastAsia="Times New Roman"/>
                <w:i/>
                <w:iCs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</w:rPr>
              <w:t>tidak</w:t>
            </w:r>
            <w:proofErr w:type="spellEnd"/>
            <w:r>
              <w:rPr>
                <w:rFonts w:eastAsia="Times New Roman"/>
                <w:i/>
                <w:iCs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</w:rPr>
              <w:t>disampaikan</w:t>
            </w:r>
            <w:proofErr w:type="spellEnd"/>
            <w:r>
              <w:rPr>
                <w:rFonts w:eastAsia="Times New Roman"/>
                <w:i/>
                <w:iCs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</w:rPr>
              <w:t>kepada</w:t>
            </w:r>
            <w:proofErr w:type="spellEnd"/>
            <w:r>
              <w:rPr>
                <w:rFonts w:eastAsia="Times New Roman"/>
                <w:i/>
                <w:iCs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</w:rPr>
              <w:t>Menteri</w:t>
            </w:r>
            <w:proofErr w:type="spellEnd"/>
            <w:r>
              <w:rPr>
                <w:rFonts w:eastAsia="Times New Roman"/>
                <w:i/>
                <w:iCs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</w:rPr>
              <w:t>Dalam</w:t>
            </w:r>
            <w:proofErr w:type="spellEnd"/>
            <w:r>
              <w:rPr>
                <w:rFonts w:eastAsia="Times New Roman"/>
                <w:i/>
                <w:iCs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</w:rPr>
              <w:t>Negeri</w:t>
            </w:r>
            <w:proofErr w:type="spellEnd"/>
            <w:r>
              <w:rPr>
                <w:rFonts w:eastAsia="Times New Roman"/>
                <w:i/>
                <w:iCs/>
              </w:rPr>
              <w:t xml:space="preserve"> - </w:t>
            </w:r>
            <w:proofErr w:type="spellStart"/>
            <w:r>
              <w:rPr>
                <w:rFonts w:eastAsia="Times New Roman"/>
                <w:i/>
                <w:iCs/>
              </w:rPr>
              <w:t>Tidak</w:t>
            </w:r>
            <w:proofErr w:type="spellEnd"/>
            <w:r>
              <w:rPr>
                <w:rFonts w:eastAsia="Times New Roman"/>
                <w:i/>
                <w:iCs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</w:rPr>
              <w:t>ditandatangani</w:t>
            </w:r>
            <w:proofErr w:type="spellEnd"/>
            <w:r>
              <w:rPr>
                <w:rFonts w:eastAsia="Times New Roman"/>
                <w:i/>
                <w:iCs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</w:rPr>
              <w:t>oleh</w:t>
            </w:r>
            <w:proofErr w:type="spellEnd"/>
            <w:r>
              <w:rPr>
                <w:rFonts w:eastAsia="Times New Roman"/>
                <w:i/>
                <w:iCs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</w:rPr>
              <w:t>Menteri</w:t>
            </w:r>
            <w:proofErr w:type="spellEnd"/>
            <w:r>
              <w:rPr>
                <w:rFonts w:eastAsia="Times New Roman"/>
                <w:i/>
                <w:iCs/>
              </w:rPr>
              <w:t xml:space="preserve"> - </w:t>
            </w:r>
            <w:proofErr w:type="spellStart"/>
            <w:r>
              <w:rPr>
                <w:rFonts w:eastAsia="Times New Roman"/>
                <w:i/>
                <w:iCs/>
              </w:rPr>
              <w:t>Akta</w:t>
            </w:r>
            <w:proofErr w:type="spellEnd"/>
            <w:r>
              <w:rPr>
                <w:rFonts w:eastAsia="Times New Roman"/>
                <w:i/>
                <w:iCs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</w:rPr>
              <w:t>Dadah</w:t>
            </w:r>
            <w:proofErr w:type="spellEnd"/>
            <w:r>
              <w:rPr>
                <w:rFonts w:eastAsia="Times New Roman"/>
                <w:i/>
                <w:iCs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</w:rPr>
              <w:t>Berbahaya</w:t>
            </w:r>
            <w:proofErr w:type="spellEnd"/>
            <w:r>
              <w:rPr>
                <w:rFonts w:eastAsia="Times New Roman"/>
                <w:i/>
                <w:iCs/>
              </w:rPr>
              <w:t xml:space="preserve"> (</w:t>
            </w:r>
            <w:proofErr w:type="spellStart"/>
            <w:r>
              <w:rPr>
                <w:rFonts w:eastAsia="Times New Roman"/>
                <w:i/>
                <w:iCs/>
              </w:rPr>
              <w:t>Langkah-Langkah</w:t>
            </w:r>
            <w:proofErr w:type="spellEnd"/>
            <w:r>
              <w:rPr>
                <w:rFonts w:eastAsia="Times New Roman"/>
                <w:i/>
                <w:iCs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</w:rPr>
              <w:t>Pencegahan</w:t>
            </w:r>
            <w:proofErr w:type="spellEnd"/>
            <w:r>
              <w:rPr>
                <w:rFonts w:eastAsia="Times New Roman"/>
                <w:i/>
                <w:iCs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</w:rPr>
              <w:t>Khas</w:t>
            </w:r>
            <w:proofErr w:type="spellEnd"/>
            <w:r>
              <w:rPr>
                <w:rFonts w:eastAsia="Times New Roman"/>
                <w:i/>
                <w:iCs/>
              </w:rPr>
              <w:t xml:space="preserve">) 1985, ss. 3(1), (2), (3), 9(1). </w:t>
            </w:r>
          </w:p>
          <w:p w:rsidR="00FA2BC9" w:rsidRDefault="00FA2BC9">
            <w:pPr>
              <w:jc w:val="both"/>
              <w:rPr>
                <w:rFonts w:eastAsia="Times New Roman"/>
              </w:rPr>
            </w:pPr>
          </w:p>
        </w:tc>
      </w:tr>
      <w:tr w:rsidR="007C4F2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F2E" w:rsidRDefault="00743C43">
            <w:pPr>
              <w:pStyle w:val="NormalWeb"/>
              <w:jc w:val="both"/>
            </w:pPr>
            <w:proofErr w:type="spellStart"/>
            <w:r>
              <w:t>Pemohon</w:t>
            </w:r>
            <w:proofErr w:type="spellEnd"/>
            <w:r>
              <w:t xml:space="preserve"> D </w:t>
            </w:r>
            <w:proofErr w:type="spellStart"/>
            <w:r>
              <w:t>telah</w:t>
            </w:r>
            <w:proofErr w:type="spellEnd"/>
            <w:r>
              <w:t xml:space="preserve"> </w:t>
            </w:r>
            <w:proofErr w:type="spellStart"/>
            <w:r>
              <w:t>ditangkap</w:t>
            </w:r>
            <w:proofErr w:type="spellEnd"/>
            <w:r>
              <w:t xml:space="preserve"> di </w:t>
            </w:r>
            <w:proofErr w:type="spellStart"/>
            <w:r>
              <w:t>bawah</w:t>
            </w:r>
            <w:proofErr w:type="spellEnd"/>
            <w:r>
              <w:t xml:space="preserve"> s. 3(1) </w:t>
            </w:r>
            <w:proofErr w:type="spellStart"/>
            <w:r>
              <w:t>Akta</w:t>
            </w:r>
            <w:proofErr w:type="spellEnd"/>
            <w:r>
              <w:t xml:space="preserve"> </w:t>
            </w:r>
            <w:proofErr w:type="spellStart"/>
            <w:r>
              <w:t>Dadah</w:t>
            </w:r>
            <w:proofErr w:type="spellEnd"/>
            <w:r>
              <w:t xml:space="preserve"> </w:t>
            </w:r>
            <w:proofErr w:type="spellStart"/>
            <w:r>
              <w:t>Berbahaya</w:t>
            </w:r>
            <w:proofErr w:type="spellEnd"/>
            <w:r>
              <w:t xml:space="preserve"> (</w:t>
            </w:r>
            <w:proofErr w:type="spellStart"/>
            <w:r>
              <w:t>Langkah-langkah</w:t>
            </w:r>
            <w:proofErr w:type="spellEnd"/>
            <w:r>
              <w:t xml:space="preserve"> </w:t>
            </w:r>
            <w:proofErr w:type="spellStart"/>
            <w:r>
              <w:t>Pencegahan</w:t>
            </w:r>
            <w:proofErr w:type="spellEnd"/>
            <w:r>
              <w:t xml:space="preserve"> </w:t>
            </w:r>
            <w:proofErr w:type="spellStart"/>
            <w:r>
              <w:t>Khas</w:t>
            </w:r>
            <w:proofErr w:type="spellEnd"/>
            <w:r>
              <w:t xml:space="preserve"> 1985 (</w:t>
            </w:r>
            <w:proofErr w:type="spellStart"/>
            <w:r>
              <w:t>Akta</w:t>
            </w:r>
            <w:proofErr w:type="spellEnd"/>
            <w:r>
              <w:t xml:space="preserve"> </w:t>
            </w:r>
            <w:proofErr w:type="spellStart"/>
            <w:r>
              <w:t>tersebut</w:t>
            </w:r>
            <w:proofErr w:type="spellEnd"/>
            <w:r>
              <w:t xml:space="preserve">)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telah</w:t>
            </w:r>
            <w:proofErr w:type="spellEnd"/>
            <w:r>
              <w:t xml:space="preserve"> </w:t>
            </w:r>
            <w:proofErr w:type="spellStart"/>
            <w:r>
              <w:t>diarahkan</w:t>
            </w:r>
            <w:proofErr w:type="spellEnd"/>
            <w:r>
              <w:t xml:space="preserve"> </w:t>
            </w:r>
            <w:proofErr w:type="spellStart"/>
            <w:r>
              <w:t>ditahan</w:t>
            </w:r>
            <w:proofErr w:type="spellEnd"/>
            <w:r>
              <w:t xml:space="preserve"> di </w:t>
            </w:r>
            <w:proofErr w:type="spellStart"/>
            <w:r>
              <w:t>bawah</w:t>
            </w:r>
            <w:proofErr w:type="spellEnd"/>
            <w:r>
              <w:t xml:space="preserve"> s. 6(1) </w:t>
            </w:r>
            <w:proofErr w:type="spellStart"/>
            <w:r>
              <w:t>Akta</w:t>
            </w:r>
            <w:proofErr w:type="spellEnd"/>
            <w:r>
              <w:t xml:space="preserve"> </w:t>
            </w:r>
            <w:proofErr w:type="spellStart"/>
            <w:r>
              <w:t>tersebut</w:t>
            </w:r>
            <w:proofErr w:type="spellEnd"/>
            <w:r>
              <w:t xml:space="preserve"> (</w:t>
            </w:r>
            <w:proofErr w:type="spellStart"/>
            <w:r>
              <w:t>perintah</w:t>
            </w:r>
            <w:proofErr w:type="spellEnd"/>
            <w:r>
              <w:t xml:space="preserve"> </w:t>
            </w:r>
            <w:proofErr w:type="spellStart"/>
            <w:r>
              <w:t>tahanan</w:t>
            </w:r>
            <w:proofErr w:type="spellEnd"/>
            <w:r>
              <w:t xml:space="preserve">). D </w:t>
            </w:r>
            <w:proofErr w:type="spellStart"/>
            <w:r>
              <w:t>telah</w:t>
            </w:r>
            <w:proofErr w:type="spellEnd"/>
            <w:r>
              <w:t xml:space="preserve"> </w:t>
            </w:r>
            <w:proofErr w:type="spellStart"/>
            <w:r>
              <w:t>menghujah</w:t>
            </w:r>
            <w:proofErr w:type="spellEnd"/>
            <w:r>
              <w:t xml:space="preserve"> </w:t>
            </w:r>
            <w:proofErr w:type="spellStart"/>
            <w:r>
              <w:t>bahawa</w:t>
            </w:r>
            <w:proofErr w:type="spellEnd"/>
            <w:r>
              <w:t xml:space="preserve"> </w:t>
            </w:r>
            <w:proofErr w:type="spellStart"/>
            <w:r>
              <w:t>penahanannya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sah</w:t>
            </w:r>
            <w:proofErr w:type="spellEnd"/>
            <w:r>
              <w:t xml:space="preserve"> </w:t>
            </w:r>
            <w:proofErr w:type="spellStart"/>
            <w:r>
              <w:t>kerana</w:t>
            </w:r>
            <w:proofErr w:type="spellEnd"/>
            <w:r>
              <w:t>:</w:t>
            </w:r>
          </w:p>
          <w:p w:rsidR="007C4F2E" w:rsidRDefault="00743C43">
            <w:pPr>
              <w:pStyle w:val="NormalWeb"/>
              <w:jc w:val="both"/>
              <w:divId w:val="195435906"/>
            </w:pPr>
            <w:r>
              <w:t xml:space="preserve">(a) </w:t>
            </w:r>
            <w:proofErr w:type="spellStart"/>
            <w:r>
              <w:t>Seksyen</w:t>
            </w:r>
            <w:proofErr w:type="spellEnd"/>
            <w:r>
              <w:t xml:space="preserve"> 3(3) </w:t>
            </w:r>
            <w:proofErr w:type="spellStart"/>
            <w:r>
              <w:t>Akta</w:t>
            </w:r>
            <w:proofErr w:type="spellEnd"/>
            <w:r>
              <w:t xml:space="preserve"> </w:t>
            </w:r>
            <w:proofErr w:type="spellStart"/>
            <w:r>
              <w:t>tersebut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dipatuhi</w:t>
            </w:r>
            <w:proofErr w:type="spellEnd"/>
            <w:r>
              <w:t xml:space="preserve"> </w:t>
            </w:r>
            <w:proofErr w:type="spellStart"/>
            <w:r>
              <w:t>kerana</w:t>
            </w:r>
            <w:proofErr w:type="spellEnd"/>
            <w:r>
              <w:t xml:space="preserve"> </w:t>
            </w:r>
            <w:proofErr w:type="spellStart"/>
            <w:r>
              <w:t>laporan</w:t>
            </w:r>
            <w:proofErr w:type="spellEnd"/>
            <w:r>
              <w:t xml:space="preserve"> </w:t>
            </w:r>
            <w:proofErr w:type="spellStart"/>
            <w:r>
              <w:t>lengkap</w:t>
            </w:r>
            <w:proofErr w:type="spellEnd"/>
            <w:r>
              <w:t xml:space="preserve"> </w:t>
            </w:r>
            <w:proofErr w:type="spellStart"/>
            <w:r>
              <w:t>perlu</w:t>
            </w:r>
            <w:proofErr w:type="spellEnd"/>
            <w:r>
              <w:t xml:space="preserve"> </w:t>
            </w:r>
            <w:proofErr w:type="spellStart"/>
            <w:r>
              <w:t>dikemukakan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</w:t>
            </w:r>
            <w:proofErr w:type="spellStart"/>
            <w:r>
              <w:t>Menteri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Negeri</w:t>
            </w:r>
            <w:proofErr w:type="spellEnd"/>
            <w:r>
              <w:t xml:space="preserve"> - </w:t>
            </w:r>
            <w:proofErr w:type="spellStart"/>
            <w:r>
              <w:t>afidavit</w:t>
            </w:r>
            <w:proofErr w:type="spellEnd"/>
            <w:r>
              <w:t xml:space="preserve"> </w:t>
            </w:r>
            <w:proofErr w:type="spellStart"/>
            <w:r>
              <w:t>Pesuruhjaya</w:t>
            </w:r>
            <w:proofErr w:type="spellEnd"/>
            <w:r>
              <w:t xml:space="preserve"> Polis, P, </w:t>
            </w:r>
            <w:proofErr w:type="spellStart"/>
            <w:r>
              <w:t>mengatakan</w:t>
            </w:r>
            <w:proofErr w:type="spellEnd"/>
            <w:r>
              <w:t xml:space="preserve"> </w:t>
            </w:r>
            <w:proofErr w:type="spellStart"/>
            <w:r>
              <w:t>bahawa</w:t>
            </w:r>
            <w:proofErr w:type="spellEnd"/>
            <w:r>
              <w:t xml:space="preserve"> </w:t>
            </w:r>
            <w:proofErr w:type="spellStart"/>
            <w:r>
              <w:t>laporan</w:t>
            </w:r>
            <w:proofErr w:type="spellEnd"/>
            <w:r>
              <w:t xml:space="preserve"> </w:t>
            </w:r>
            <w:proofErr w:type="spellStart"/>
            <w:r>
              <w:t>lengkap</w:t>
            </w:r>
            <w:proofErr w:type="spellEnd"/>
            <w:r>
              <w:t xml:space="preserve"> </w:t>
            </w:r>
            <w:proofErr w:type="spellStart"/>
            <w:r>
              <w:t>telah</w:t>
            </w:r>
            <w:proofErr w:type="spellEnd"/>
            <w:r>
              <w:t xml:space="preserve"> </w:t>
            </w:r>
            <w:proofErr w:type="spellStart"/>
            <w:r>
              <w:t>dikemukakan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</w:t>
            </w:r>
            <w:proofErr w:type="spellStart"/>
            <w:r>
              <w:t>pegawai</w:t>
            </w:r>
            <w:proofErr w:type="spellEnd"/>
            <w:r>
              <w:t xml:space="preserve"> </w:t>
            </w:r>
            <w:proofErr w:type="spellStart"/>
            <w:r>
              <w:t>siasatan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"</w:t>
            </w:r>
            <w:proofErr w:type="spellStart"/>
            <w:r>
              <w:t>kepada</w:t>
            </w:r>
            <w:proofErr w:type="spellEnd"/>
            <w:r>
              <w:t xml:space="preserve"> </w:t>
            </w:r>
            <w:proofErr w:type="spellStart"/>
            <w:r>
              <w:t>Kementerian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Negeri</w:t>
            </w:r>
            <w:proofErr w:type="spellEnd"/>
            <w:r>
              <w:t>;</w:t>
            </w:r>
          </w:p>
          <w:p w:rsidR="007C4F2E" w:rsidRDefault="00743C43">
            <w:pPr>
              <w:pStyle w:val="NormalWeb"/>
              <w:jc w:val="both"/>
              <w:divId w:val="195435906"/>
            </w:pPr>
            <w:r>
              <w:t xml:space="preserve">(b)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ada</w:t>
            </w:r>
            <w:proofErr w:type="spellEnd"/>
            <w:r>
              <w:t xml:space="preserve"> </w:t>
            </w:r>
            <w:proofErr w:type="spellStart"/>
            <w:r>
              <w:t>afidavit</w:t>
            </w:r>
            <w:proofErr w:type="spellEnd"/>
            <w:r>
              <w:t xml:space="preserve"> yang </w:t>
            </w:r>
            <w:proofErr w:type="spellStart"/>
            <w:r>
              <w:t>difailkan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</w:t>
            </w:r>
            <w:proofErr w:type="spellStart"/>
            <w:r>
              <w:t>pegawai</w:t>
            </w:r>
            <w:proofErr w:type="spellEnd"/>
            <w:r>
              <w:t xml:space="preserve"> yang </w:t>
            </w:r>
            <w:proofErr w:type="spellStart"/>
            <w:r>
              <w:t>membuat</w:t>
            </w:r>
            <w:proofErr w:type="spellEnd"/>
            <w:r>
              <w:t xml:space="preserve"> </w:t>
            </w:r>
            <w:proofErr w:type="spellStart"/>
            <w:r>
              <w:t>penyiasatan</w:t>
            </w:r>
            <w:proofErr w:type="spellEnd"/>
            <w:r>
              <w:t xml:space="preserve"> </w:t>
            </w:r>
            <w:proofErr w:type="spellStart"/>
            <w:r>
              <w:t>bahawa</w:t>
            </w:r>
            <w:proofErr w:type="spellEnd"/>
            <w:r>
              <w:t xml:space="preserve"> </w:t>
            </w:r>
            <w:proofErr w:type="spellStart"/>
            <w:r>
              <w:t>beliau</w:t>
            </w:r>
            <w:proofErr w:type="spellEnd"/>
            <w:r>
              <w:t xml:space="preserve"> </w:t>
            </w:r>
            <w:proofErr w:type="spellStart"/>
            <w:r>
              <w:t>menyebabkan</w:t>
            </w:r>
            <w:proofErr w:type="spellEnd"/>
            <w:r>
              <w:t xml:space="preserve"> </w:t>
            </w:r>
            <w:proofErr w:type="spellStart"/>
            <w:r>
              <w:t>satu</w:t>
            </w:r>
            <w:proofErr w:type="spellEnd"/>
            <w:r>
              <w:t xml:space="preserve"> </w:t>
            </w:r>
            <w:proofErr w:type="spellStart"/>
            <w:r>
              <w:t>salinan</w:t>
            </w:r>
            <w:proofErr w:type="spellEnd"/>
            <w:r>
              <w:t xml:space="preserve"> </w:t>
            </w:r>
            <w:proofErr w:type="spellStart"/>
            <w:r>
              <w:t>laporan</w:t>
            </w:r>
            <w:proofErr w:type="spellEnd"/>
            <w:r>
              <w:t xml:space="preserve"> </w:t>
            </w:r>
            <w:proofErr w:type="spellStart"/>
            <w:r>
              <w:t>lengkap</w:t>
            </w:r>
            <w:proofErr w:type="spellEnd"/>
            <w:r>
              <w:t xml:space="preserve"> </w:t>
            </w:r>
            <w:proofErr w:type="spellStart"/>
            <w:r>
              <w:t>penyiasatan</w:t>
            </w:r>
            <w:proofErr w:type="spellEnd"/>
            <w:r>
              <w:t xml:space="preserve"> </w:t>
            </w:r>
            <w:proofErr w:type="spellStart"/>
            <w:r>
              <w:t>dikemukakan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</w:t>
            </w:r>
            <w:proofErr w:type="spellStart"/>
            <w:r>
              <w:t>pegawai</w:t>
            </w:r>
            <w:proofErr w:type="spellEnd"/>
            <w:r>
              <w:t xml:space="preserve"> </w:t>
            </w:r>
            <w:proofErr w:type="spellStart"/>
            <w:r>
              <w:t>siasatan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</w:t>
            </w:r>
            <w:proofErr w:type="spellStart"/>
            <w:r>
              <w:t>Menteri</w:t>
            </w:r>
            <w:proofErr w:type="spellEnd"/>
            <w:r>
              <w:t xml:space="preserve">, </w:t>
            </w:r>
            <w:proofErr w:type="spellStart"/>
            <w:r>
              <w:t>seperti</w:t>
            </w:r>
            <w:proofErr w:type="spellEnd"/>
            <w:r>
              <w:t xml:space="preserve"> yang </w:t>
            </w:r>
            <w:proofErr w:type="spellStart"/>
            <w:r>
              <w:t>dikehendaki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s. 3(3);</w:t>
            </w:r>
          </w:p>
          <w:p w:rsidR="007C4F2E" w:rsidRDefault="00743C43">
            <w:pPr>
              <w:pStyle w:val="NormalWeb"/>
              <w:jc w:val="both"/>
              <w:divId w:val="195435906"/>
            </w:pPr>
            <w:r>
              <w:t xml:space="preserve">(c) </w:t>
            </w:r>
            <w:proofErr w:type="spellStart"/>
            <w:proofErr w:type="gramStart"/>
            <w:r>
              <w:t>seksyen</w:t>
            </w:r>
            <w:proofErr w:type="spellEnd"/>
            <w:proofErr w:type="gramEnd"/>
            <w:r>
              <w:t xml:space="preserve"> 9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dipatuhi</w:t>
            </w:r>
            <w:proofErr w:type="spellEnd"/>
            <w:r>
              <w:t xml:space="preserve"> </w:t>
            </w:r>
            <w:proofErr w:type="spellStart"/>
            <w:r>
              <w:t>kerana</w:t>
            </w:r>
            <w:proofErr w:type="spellEnd"/>
            <w:r>
              <w:t xml:space="preserve"> </w:t>
            </w:r>
            <w:proofErr w:type="spellStart"/>
            <w:r>
              <w:t>salinan</w:t>
            </w:r>
            <w:proofErr w:type="spellEnd"/>
            <w:r>
              <w:t xml:space="preserve"> </w:t>
            </w:r>
            <w:proofErr w:type="spellStart"/>
            <w:r>
              <w:t>perintah</w:t>
            </w:r>
            <w:proofErr w:type="spellEnd"/>
            <w:r>
              <w:t xml:space="preserve"> </w:t>
            </w:r>
            <w:proofErr w:type="spellStart"/>
            <w:r>
              <w:t>tahanan</w:t>
            </w:r>
            <w:proofErr w:type="spellEnd"/>
            <w:r>
              <w:t xml:space="preserve"> yang </w:t>
            </w:r>
            <w:proofErr w:type="spellStart"/>
            <w:r>
              <w:t>diserahkan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D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ditandatangani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</w:t>
            </w:r>
            <w:proofErr w:type="spellStart"/>
            <w:r>
              <w:t>Timbalan</w:t>
            </w:r>
            <w:proofErr w:type="spellEnd"/>
            <w:r>
              <w:t xml:space="preserve"> </w:t>
            </w:r>
            <w:proofErr w:type="spellStart"/>
            <w:r>
              <w:t>Menteri</w:t>
            </w:r>
            <w:proofErr w:type="spellEnd"/>
            <w:r>
              <w:t>.</w:t>
            </w:r>
          </w:p>
          <w:p w:rsidR="007C4F2E" w:rsidRDefault="00743C43">
            <w:pPr>
              <w:pStyle w:val="NormalWeb"/>
              <w:jc w:val="both"/>
            </w:pPr>
            <w:proofErr w:type="spellStart"/>
            <w:r>
              <w:rPr>
                <w:b/>
                <w:bCs/>
              </w:rPr>
              <w:t>Diputuskan</w:t>
            </w:r>
            <w:proofErr w:type="spellEnd"/>
            <w:r>
              <w:rPr>
                <w:b/>
                <w:bCs/>
              </w:rPr>
              <w:t>:</w:t>
            </w:r>
          </w:p>
          <w:p w:rsidR="007C4F2E" w:rsidRDefault="00743C43">
            <w:pPr>
              <w:pStyle w:val="NormalWeb"/>
              <w:jc w:val="both"/>
            </w:pPr>
            <w:r>
              <w:rPr>
                <w:b/>
                <w:bCs/>
              </w:rPr>
              <w:t>[1]</w:t>
            </w:r>
            <w:r>
              <w:t xml:space="preserve"> </w:t>
            </w:r>
            <w:proofErr w:type="spellStart"/>
            <w:r>
              <w:t>Samaada</w:t>
            </w:r>
            <w:proofErr w:type="spellEnd"/>
            <w:r>
              <w:t xml:space="preserve"> </w:t>
            </w:r>
            <w:proofErr w:type="spellStart"/>
            <w:r>
              <w:t>afidavit</w:t>
            </w:r>
            <w:proofErr w:type="spellEnd"/>
            <w:r>
              <w:t xml:space="preserve"> P </w:t>
            </w:r>
            <w:proofErr w:type="spellStart"/>
            <w:r>
              <w:t>menyebut</w:t>
            </w:r>
            <w:proofErr w:type="spellEnd"/>
            <w:r>
              <w:t xml:space="preserve"> </w:t>
            </w:r>
            <w:proofErr w:type="spellStart"/>
            <w:r>
              <w:t>laporan</w:t>
            </w:r>
            <w:proofErr w:type="spellEnd"/>
            <w:r>
              <w:t xml:space="preserve"> </w:t>
            </w:r>
            <w:proofErr w:type="spellStart"/>
            <w:r>
              <w:t>itu</w:t>
            </w:r>
            <w:proofErr w:type="spellEnd"/>
            <w:r>
              <w:t xml:space="preserve"> </w:t>
            </w:r>
            <w:proofErr w:type="spellStart"/>
            <w:r>
              <w:t>dihantar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</w:t>
            </w:r>
            <w:proofErr w:type="spellStart"/>
            <w:r>
              <w:t>Menteri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Negeri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</w:t>
            </w:r>
            <w:proofErr w:type="spellStart"/>
            <w:r>
              <w:t>Kementerian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Negeri</w:t>
            </w:r>
            <w:proofErr w:type="spellEnd"/>
            <w:r>
              <w:t xml:space="preserve">, </w:t>
            </w:r>
            <w:proofErr w:type="spellStart"/>
            <w:r>
              <w:t>akibatnya</w:t>
            </w:r>
            <w:proofErr w:type="spellEnd"/>
            <w:r>
              <w:t xml:space="preserve"> </w:t>
            </w:r>
            <w:proofErr w:type="spellStart"/>
            <w:r>
              <w:t>adalah</w:t>
            </w:r>
            <w:proofErr w:type="spellEnd"/>
            <w:r>
              <w:t xml:space="preserve"> </w:t>
            </w:r>
            <w:proofErr w:type="spellStart"/>
            <w:r>
              <w:t>sama</w:t>
            </w:r>
            <w:proofErr w:type="spellEnd"/>
            <w:r>
              <w:t xml:space="preserve"> </w:t>
            </w:r>
            <w:proofErr w:type="spellStart"/>
            <w:r>
              <w:t>sahaja</w:t>
            </w:r>
            <w:proofErr w:type="spellEnd"/>
            <w:r>
              <w:t>.</w:t>
            </w:r>
          </w:p>
          <w:p w:rsidR="007C4F2E" w:rsidRDefault="00743C43">
            <w:pPr>
              <w:pStyle w:val="NormalWeb"/>
              <w:jc w:val="both"/>
            </w:pPr>
            <w:r>
              <w:rPr>
                <w:b/>
                <w:bCs/>
              </w:rPr>
              <w:t>[2]</w:t>
            </w:r>
            <w:r>
              <w:t xml:space="preserve"> </w:t>
            </w:r>
            <w:proofErr w:type="spellStart"/>
            <w:r>
              <w:t>Apa</w:t>
            </w:r>
            <w:proofErr w:type="spellEnd"/>
            <w:r>
              <w:t xml:space="preserve"> yang </w:t>
            </w:r>
            <w:proofErr w:type="spellStart"/>
            <w:r>
              <w:t>penting</w:t>
            </w:r>
            <w:proofErr w:type="spellEnd"/>
            <w:r>
              <w:t xml:space="preserve"> </w:t>
            </w:r>
            <w:proofErr w:type="spellStart"/>
            <w:r>
              <w:t>ialah</w:t>
            </w:r>
            <w:proofErr w:type="spellEnd"/>
            <w:r>
              <w:t xml:space="preserve"> </w:t>
            </w:r>
            <w:proofErr w:type="spellStart"/>
            <w:r>
              <w:t>laporan</w:t>
            </w:r>
            <w:proofErr w:type="spellEnd"/>
            <w:r>
              <w:t xml:space="preserve"> di </w:t>
            </w:r>
            <w:proofErr w:type="spellStart"/>
            <w:r>
              <w:t>bawah</w:t>
            </w:r>
            <w:proofErr w:type="spellEnd"/>
            <w:r>
              <w:t xml:space="preserve"> s. 3(3) </w:t>
            </w:r>
            <w:proofErr w:type="spellStart"/>
            <w:r>
              <w:t>hendaklah</w:t>
            </w:r>
            <w:proofErr w:type="spellEnd"/>
            <w:r>
              <w:t xml:space="preserve"> </w:t>
            </w:r>
            <w:proofErr w:type="spellStart"/>
            <w:r>
              <w:t>dikemukakan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 xml:space="preserve"> </w:t>
            </w:r>
            <w:proofErr w:type="spellStart"/>
            <w:r>
              <w:t>telah</w:t>
            </w:r>
            <w:proofErr w:type="spellEnd"/>
            <w:r>
              <w:t xml:space="preserve"> </w:t>
            </w:r>
            <w:proofErr w:type="spellStart"/>
            <w:r>
              <w:t>dilakukan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P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 xml:space="preserve"> </w:t>
            </w:r>
            <w:proofErr w:type="spellStart"/>
            <w:r>
              <w:t>adalah</w:t>
            </w:r>
            <w:proofErr w:type="spellEnd"/>
            <w:r>
              <w:t xml:space="preserve"> </w:t>
            </w:r>
            <w:proofErr w:type="spellStart"/>
            <w:r>
              <w:t>memadai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kegagalan</w:t>
            </w:r>
            <w:proofErr w:type="spellEnd"/>
            <w:r>
              <w:t xml:space="preserve"> P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memfail</w:t>
            </w:r>
            <w:proofErr w:type="spellEnd"/>
            <w:r>
              <w:t xml:space="preserve"> </w:t>
            </w:r>
            <w:proofErr w:type="spellStart"/>
            <w:r>
              <w:t>afidavit</w:t>
            </w:r>
            <w:proofErr w:type="spellEnd"/>
            <w:r>
              <w:t xml:space="preserve"> </w:t>
            </w:r>
            <w:proofErr w:type="spellStart"/>
            <w:r>
              <w:t>mengatakan</w:t>
            </w:r>
            <w:proofErr w:type="spellEnd"/>
            <w:r>
              <w:t xml:space="preserve"> </w:t>
            </w:r>
            <w:proofErr w:type="spellStart"/>
            <w:r>
              <w:t>beliau</w:t>
            </w:r>
            <w:proofErr w:type="spellEnd"/>
            <w:r>
              <w:t xml:space="preserve"> </w:t>
            </w:r>
            <w:proofErr w:type="spellStart"/>
            <w:r>
              <w:t>menyebabkan</w:t>
            </w:r>
            <w:proofErr w:type="spellEnd"/>
            <w:r>
              <w:t xml:space="preserve"> </w:t>
            </w:r>
            <w:proofErr w:type="spellStart"/>
            <w:r>
              <w:t>ia</w:t>
            </w:r>
            <w:proofErr w:type="spellEnd"/>
            <w:r>
              <w:t xml:space="preserve"> </w:t>
            </w:r>
            <w:proofErr w:type="spellStart"/>
            <w:r>
              <w:t>dikemukakan</w:t>
            </w:r>
            <w:proofErr w:type="spellEnd"/>
            <w:r>
              <w:t xml:space="preserve"> </w:t>
            </w:r>
            <w:proofErr w:type="spellStart"/>
            <w:r>
              <w:t>adalah</w:t>
            </w:r>
            <w:proofErr w:type="spellEnd"/>
            <w:r>
              <w:t xml:space="preserve"> </w:t>
            </w:r>
            <w:proofErr w:type="spellStart"/>
            <w:r>
              <w:t>hujah</w:t>
            </w:r>
            <w:proofErr w:type="spellEnd"/>
            <w:r>
              <w:t xml:space="preserve"> yang </w:t>
            </w:r>
            <w:proofErr w:type="spellStart"/>
            <w:r>
              <w:t>sangat</w:t>
            </w:r>
            <w:proofErr w:type="spellEnd"/>
            <w:r>
              <w:t xml:space="preserve"> </w:t>
            </w:r>
            <w:proofErr w:type="spellStart"/>
            <w:r>
              <w:t>remeh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berasas</w:t>
            </w:r>
            <w:proofErr w:type="spellEnd"/>
            <w:r>
              <w:t>.</w:t>
            </w:r>
          </w:p>
          <w:p w:rsidR="007C4F2E" w:rsidRDefault="00743C43">
            <w:pPr>
              <w:pStyle w:val="NormalWeb"/>
              <w:jc w:val="both"/>
            </w:pPr>
            <w:r>
              <w:rPr>
                <w:b/>
                <w:bCs/>
              </w:rPr>
              <w:t>[3]</w:t>
            </w:r>
            <w:r>
              <w:t xml:space="preserve"> </w:t>
            </w:r>
            <w:proofErr w:type="spellStart"/>
            <w:r>
              <w:t>Peruntukan</w:t>
            </w:r>
            <w:proofErr w:type="spellEnd"/>
            <w:r>
              <w:t xml:space="preserve"> s. 9(1) </w:t>
            </w:r>
            <w:proofErr w:type="spellStart"/>
            <w:r>
              <w:t>adalah</w:t>
            </w:r>
            <w:proofErr w:type="spellEnd"/>
            <w:r>
              <w:t xml:space="preserve"> </w:t>
            </w:r>
            <w:proofErr w:type="spellStart"/>
            <w:r>
              <w:t>dipatuhi</w:t>
            </w:r>
            <w:proofErr w:type="spellEnd"/>
            <w:r>
              <w:t xml:space="preserve"> </w:t>
            </w:r>
            <w:proofErr w:type="spellStart"/>
            <w:r>
              <w:t>walaupun</w:t>
            </w:r>
            <w:proofErr w:type="spellEnd"/>
            <w:r>
              <w:t xml:space="preserve"> </w:t>
            </w:r>
            <w:proofErr w:type="spellStart"/>
            <w:r>
              <w:t>salinan</w:t>
            </w:r>
            <w:proofErr w:type="spellEnd"/>
            <w:r>
              <w:t xml:space="preserve"> yang </w:t>
            </w:r>
            <w:proofErr w:type="spellStart"/>
            <w:r>
              <w:t>disampaikan</w:t>
            </w:r>
            <w:proofErr w:type="spellEnd"/>
            <w:r>
              <w:t xml:space="preserve"> </w:t>
            </w:r>
            <w:proofErr w:type="spellStart"/>
            <w:r>
              <w:t>itu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ditandatangani</w:t>
            </w:r>
            <w:proofErr w:type="spellEnd"/>
            <w:r>
              <w:t xml:space="preserve"> </w:t>
            </w:r>
            <w:proofErr w:type="spellStart"/>
            <w:r>
              <w:t>tetapi</w:t>
            </w:r>
            <w:proofErr w:type="spellEnd"/>
            <w:r>
              <w:t xml:space="preserve"> </w:t>
            </w:r>
            <w:proofErr w:type="spellStart"/>
            <w:r>
              <w:t>cuma</w:t>
            </w:r>
            <w:proofErr w:type="spellEnd"/>
            <w:r>
              <w:t xml:space="preserve"> </w:t>
            </w:r>
            <w:proofErr w:type="spellStart"/>
            <w:r>
              <w:t>dicop</w:t>
            </w:r>
            <w:proofErr w:type="spellEnd"/>
            <w:r>
              <w:t xml:space="preserve"> "T.T </w:t>
            </w:r>
            <w:proofErr w:type="spellStart"/>
            <w:r>
              <w:t>Timbalan</w:t>
            </w:r>
            <w:proofErr w:type="spellEnd"/>
            <w:r>
              <w:t xml:space="preserve"> </w:t>
            </w:r>
            <w:proofErr w:type="spellStart"/>
            <w:r>
              <w:t>Menteri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Negeri</w:t>
            </w:r>
            <w:proofErr w:type="spellEnd"/>
            <w:r>
              <w:t>, Malaysia."</w:t>
            </w:r>
          </w:p>
          <w:p w:rsidR="007C4F2E" w:rsidRDefault="00743C43">
            <w:pPr>
              <w:pStyle w:val="NormalWeb"/>
              <w:jc w:val="both"/>
            </w:pPr>
            <w:r>
              <w:t>[</w:t>
            </w:r>
            <w:r>
              <w:rPr>
                <w:b/>
                <w:bCs/>
              </w:rPr>
              <w:t xml:space="preserve">Nota </w:t>
            </w:r>
            <w:proofErr w:type="spellStart"/>
            <w:r>
              <w:rPr>
                <w:b/>
                <w:bCs/>
              </w:rPr>
              <w:t>Pengarang</w:t>
            </w:r>
            <w:proofErr w:type="spellEnd"/>
            <w:r>
              <w:rPr>
                <w:b/>
                <w:bCs/>
              </w:rPr>
              <w:t>:</w:t>
            </w:r>
            <w:r>
              <w:t xml:space="preserve"> </w:t>
            </w:r>
            <w:proofErr w:type="spellStart"/>
            <w:r>
              <w:t>Pemohon</w:t>
            </w:r>
            <w:proofErr w:type="spellEnd"/>
            <w:r>
              <w:t xml:space="preserve"> </w:t>
            </w:r>
            <w:proofErr w:type="spellStart"/>
            <w:r>
              <w:t>telah</w:t>
            </w:r>
            <w:proofErr w:type="spellEnd"/>
            <w:r>
              <w:t xml:space="preserve"> </w:t>
            </w:r>
            <w:proofErr w:type="spellStart"/>
            <w:r>
              <w:t>merayu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</w:t>
            </w:r>
            <w:proofErr w:type="spellStart"/>
            <w:r>
              <w:t>Mahkamah</w:t>
            </w:r>
            <w:proofErr w:type="spellEnd"/>
            <w:r>
              <w:t xml:space="preserve"> </w:t>
            </w:r>
            <w:proofErr w:type="spellStart"/>
            <w:r>
              <w:t>Agung</w:t>
            </w:r>
            <w:proofErr w:type="spellEnd"/>
            <w:r>
              <w:t xml:space="preserve"> </w:t>
            </w:r>
            <w:proofErr w:type="spellStart"/>
            <w:r>
              <w:t>pada</w:t>
            </w:r>
            <w:proofErr w:type="spellEnd"/>
            <w:r>
              <w:t xml:space="preserve"> 5 </w:t>
            </w:r>
            <w:proofErr w:type="spellStart"/>
            <w:r>
              <w:t>Februari</w:t>
            </w:r>
            <w:proofErr w:type="spellEnd"/>
            <w:r>
              <w:t xml:space="preserve"> 1991]</w:t>
            </w:r>
          </w:p>
          <w:p w:rsidR="007C4F2E" w:rsidRDefault="007C4F2E">
            <w:pPr>
              <w:jc w:val="both"/>
              <w:rPr>
                <w:rFonts w:eastAsia="Times New Roman"/>
              </w:rPr>
            </w:pPr>
          </w:p>
        </w:tc>
      </w:tr>
      <w:tr w:rsidR="007C4F2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F2E" w:rsidRDefault="00743C43">
            <w:pPr>
              <w:pStyle w:val="NormalWeb"/>
              <w:jc w:val="both"/>
            </w:pPr>
            <w:r>
              <w:rPr>
                <w:b/>
                <w:bCs/>
              </w:rPr>
              <w:t>Case(s) referred to:</w:t>
            </w:r>
          </w:p>
          <w:p w:rsidR="007C4F2E" w:rsidRDefault="00743C43">
            <w:pPr>
              <w:pStyle w:val="NormalWeb"/>
              <w:jc w:val="both"/>
            </w:pPr>
            <w:r>
              <w:rPr>
                <w:i/>
                <w:iCs/>
              </w:rPr>
              <w:t xml:space="preserve">Sam Choy v. </w:t>
            </w:r>
            <w:proofErr w:type="spellStart"/>
            <w:r>
              <w:rPr>
                <w:i/>
                <w:iCs/>
              </w:rPr>
              <w:t>Timbalan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Menteri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Dalam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Negeri</w:t>
            </w:r>
            <w:proofErr w:type="spellEnd"/>
            <w:r>
              <w:rPr>
                <w:i/>
                <w:iCs/>
              </w:rPr>
              <w:t xml:space="preserve"> &amp; </w:t>
            </w:r>
            <w:proofErr w:type="spellStart"/>
            <w:r>
              <w:rPr>
                <w:i/>
                <w:iCs/>
              </w:rPr>
              <w:t>Yg</w:t>
            </w:r>
            <w:proofErr w:type="spellEnd"/>
            <w:r>
              <w:rPr>
                <w:i/>
                <w:iCs/>
              </w:rPr>
              <w:t>. Lain. (</w:t>
            </w:r>
            <w:proofErr w:type="spellStart"/>
            <w:r>
              <w:rPr>
                <w:i/>
                <w:iCs/>
              </w:rPr>
              <w:t>Mahkamah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Tinggi</w:t>
            </w:r>
            <w:proofErr w:type="spellEnd"/>
            <w:r>
              <w:rPr>
                <w:i/>
                <w:iCs/>
              </w:rPr>
              <w:t xml:space="preserve"> Kuala </w:t>
            </w:r>
            <w:r>
              <w:rPr>
                <w:i/>
                <w:iCs/>
              </w:rPr>
              <w:lastRenderedPageBreak/>
              <w:t xml:space="preserve">Lumpur, </w:t>
            </w:r>
            <w:proofErr w:type="spellStart"/>
            <w:r>
              <w:rPr>
                <w:i/>
                <w:iCs/>
              </w:rPr>
              <w:t>Saman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Pemula</w:t>
            </w:r>
            <w:proofErr w:type="spellEnd"/>
            <w:r>
              <w:rPr>
                <w:i/>
                <w:iCs/>
              </w:rPr>
              <w:t xml:space="preserve"> No. R8-24-29-90)</w:t>
            </w:r>
          </w:p>
          <w:p w:rsidR="007C4F2E" w:rsidRDefault="007C4F2E">
            <w:pPr>
              <w:jc w:val="both"/>
              <w:rPr>
                <w:rFonts w:eastAsia="Times New Roman"/>
              </w:rPr>
            </w:pPr>
          </w:p>
        </w:tc>
      </w:tr>
      <w:tr w:rsidR="007C4F2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F2E" w:rsidRDefault="00743C43">
            <w:pPr>
              <w:pStyle w:val="NormalWeb"/>
              <w:jc w:val="both"/>
            </w:pPr>
            <w:r>
              <w:rPr>
                <w:b/>
                <w:bCs/>
              </w:rPr>
              <w:lastRenderedPageBreak/>
              <w:t>Legislation referred to:</w:t>
            </w:r>
          </w:p>
          <w:p w:rsidR="007C4F2E" w:rsidRDefault="00743C43">
            <w:pPr>
              <w:pStyle w:val="NormalWeb"/>
              <w:jc w:val="both"/>
            </w:pPr>
            <w:r>
              <w:t>Dangerous Drugs (Special Preventive Measures) Act 1985, ss. 3(1),(2),(3), 5(1), 6(1), 9(1)</w:t>
            </w:r>
          </w:p>
          <w:p w:rsidR="007C4F2E" w:rsidRDefault="00743C43">
            <w:pPr>
              <w:pStyle w:val="NormalWeb"/>
              <w:jc w:val="both"/>
            </w:pPr>
            <w:r>
              <w:t>Restricted Residence Enactment (FMS Cap 39), s. 3(</w:t>
            </w:r>
            <w:proofErr w:type="spellStart"/>
            <w:r>
              <w:t>i</w:t>
            </w:r>
            <w:proofErr w:type="spellEnd"/>
            <w:r>
              <w:t>)</w:t>
            </w:r>
          </w:p>
          <w:p w:rsidR="007C4F2E" w:rsidRDefault="007C4F2E">
            <w:pPr>
              <w:jc w:val="both"/>
              <w:rPr>
                <w:rFonts w:eastAsia="Times New Roman"/>
              </w:rPr>
            </w:pPr>
          </w:p>
        </w:tc>
      </w:tr>
      <w:tr w:rsidR="007C4F2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F2E" w:rsidRDefault="007C4F2E">
            <w:pPr>
              <w:jc w:val="both"/>
              <w:rPr>
                <w:rFonts w:eastAsia="Times New Roman"/>
              </w:rPr>
            </w:pPr>
          </w:p>
        </w:tc>
      </w:tr>
      <w:tr w:rsidR="007C4F2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F2E" w:rsidRDefault="00743C43">
            <w:pPr>
              <w:pStyle w:val="NormalWeb"/>
              <w:jc w:val="both"/>
            </w:pPr>
            <w:r>
              <w:rPr>
                <w:b/>
                <w:bCs/>
              </w:rPr>
              <w:t>Counsel:</w:t>
            </w:r>
          </w:p>
          <w:p w:rsidR="007C4F2E" w:rsidRDefault="00743C43">
            <w:pPr>
              <w:pStyle w:val="NormalWeb"/>
              <w:jc w:val="both"/>
            </w:pPr>
            <w:proofErr w:type="spellStart"/>
            <w:r>
              <w:rPr>
                <w:i/>
                <w:iCs/>
              </w:rPr>
              <w:t>Bagi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pihak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pemohon</w:t>
            </w:r>
            <w:proofErr w:type="spellEnd"/>
            <w:r>
              <w:rPr>
                <w:i/>
                <w:iCs/>
              </w:rPr>
              <w:t xml:space="preserve"> - </w:t>
            </w:r>
            <w:proofErr w:type="spellStart"/>
            <w:r>
              <w:rPr>
                <w:i/>
                <w:iCs/>
              </w:rPr>
              <w:t>Karpal</w:t>
            </w:r>
            <w:proofErr w:type="spellEnd"/>
            <w:r>
              <w:rPr>
                <w:i/>
                <w:iCs/>
              </w:rPr>
              <w:t xml:space="preserve"> Singh; T/n. </w:t>
            </w:r>
            <w:proofErr w:type="spellStart"/>
            <w:r>
              <w:rPr>
                <w:i/>
                <w:iCs/>
              </w:rPr>
              <w:t>Karpal</w:t>
            </w:r>
            <w:proofErr w:type="spellEnd"/>
            <w:r>
              <w:rPr>
                <w:i/>
                <w:iCs/>
              </w:rPr>
              <w:t xml:space="preserve"> Singh &amp; Co.</w:t>
            </w:r>
          </w:p>
          <w:p w:rsidR="007C4F2E" w:rsidRPr="00FA2BC9" w:rsidRDefault="00743C43" w:rsidP="00FA2BC9">
            <w:pPr>
              <w:pStyle w:val="NormalWeb"/>
              <w:jc w:val="both"/>
            </w:pPr>
            <w:proofErr w:type="spellStart"/>
            <w:r>
              <w:rPr>
                <w:i/>
                <w:iCs/>
              </w:rPr>
              <w:t>Bagi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pihak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responden</w:t>
            </w:r>
            <w:proofErr w:type="spellEnd"/>
            <w:r>
              <w:rPr>
                <w:i/>
                <w:iCs/>
              </w:rPr>
              <w:t xml:space="preserve"> - </w:t>
            </w:r>
            <w:proofErr w:type="spellStart"/>
            <w:r>
              <w:rPr>
                <w:i/>
                <w:iCs/>
              </w:rPr>
              <w:t>Jalaldin</w:t>
            </w:r>
            <w:proofErr w:type="spellEnd"/>
            <w:r>
              <w:rPr>
                <w:i/>
                <w:iCs/>
              </w:rPr>
              <w:t xml:space="preserve"> bin </w:t>
            </w:r>
            <w:proofErr w:type="spellStart"/>
            <w:r>
              <w:rPr>
                <w:i/>
                <w:iCs/>
              </w:rPr>
              <w:t>Hussain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Peguam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Kanan</w:t>
            </w:r>
            <w:proofErr w:type="spellEnd"/>
            <w:r>
              <w:rPr>
                <w:i/>
                <w:iCs/>
              </w:rPr>
              <w:t xml:space="preserve"> Persekutuan</w:t>
            </w:r>
            <w:r>
              <w:rPr>
                <w:rFonts w:eastAsia="Times New Roman"/>
              </w:rPr>
              <w:br/>
            </w:r>
          </w:p>
        </w:tc>
      </w:tr>
      <w:tr w:rsidR="007C4F2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F2E" w:rsidRDefault="007C4F2E">
            <w:pPr>
              <w:jc w:val="both"/>
              <w:rPr>
                <w:rFonts w:eastAsia="Times New Roman"/>
              </w:rPr>
            </w:pPr>
          </w:p>
        </w:tc>
      </w:tr>
      <w:tr w:rsidR="007C4F2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F2E" w:rsidRDefault="007C4F2E">
            <w:pPr>
              <w:jc w:val="both"/>
              <w:rPr>
                <w:rFonts w:eastAsia="Times New Roman"/>
              </w:rPr>
            </w:pPr>
          </w:p>
        </w:tc>
      </w:tr>
    </w:tbl>
    <w:p w:rsidR="007C4F2E" w:rsidRDefault="007C4F2E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6"/>
      </w:tblGrid>
      <w:tr w:rsidR="007C4F2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F2E" w:rsidRDefault="00743C43">
            <w:pPr>
              <w:pStyle w:val="NormalWeb"/>
              <w:jc w:val="both"/>
            </w:pPr>
            <w:r>
              <w:rPr>
                <w:b/>
                <w:bCs/>
              </w:rPr>
              <w:t>PENGHAKIMAN</w:t>
            </w:r>
          </w:p>
          <w:p w:rsidR="007C4F2E" w:rsidRDefault="00743C43">
            <w:pPr>
              <w:pStyle w:val="NormalWeb"/>
              <w:jc w:val="both"/>
            </w:pPr>
            <w:r>
              <w:rPr>
                <w:b/>
                <w:bCs/>
              </w:rPr>
              <w:t>Abdul Hamid Mohamed PK:</w:t>
            </w:r>
          </w:p>
          <w:p w:rsidR="007C4F2E" w:rsidRDefault="00743C43">
            <w:pPr>
              <w:pStyle w:val="NormalWeb"/>
              <w:jc w:val="both"/>
            </w:pPr>
            <w:proofErr w:type="spellStart"/>
            <w:r>
              <w:t>Pemohon</w:t>
            </w:r>
            <w:proofErr w:type="spellEnd"/>
            <w:r>
              <w:t xml:space="preserve"> </w:t>
            </w:r>
            <w:proofErr w:type="spellStart"/>
            <w:r>
              <w:t>ditangkap</w:t>
            </w:r>
            <w:proofErr w:type="spellEnd"/>
            <w:r>
              <w:t xml:space="preserve"> </w:t>
            </w:r>
            <w:proofErr w:type="spellStart"/>
            <w:r>
              <w:t>pada</w:t>
            </w:r>
            <w:proofErr w:type="spellEnd"/>
            <w:r>
              <w:t xml:space="preserve"> 17 </w:t>
            </w:r>
            <w:proofErr w:type="spellStart"/>
            <w:r>
              <w:t>Januari</w:t>
            </w:r>
            <w:proofErr w:type="spellEnd"/>
            <w:r>
              <w:t xml:space="preserve"> 1989 di </w:t>
            </w:r>
            <w:proofErr w:type="spellStart"/>
            <w:r>
              <w:t>bawah</w:t>
            </w:r>
            <w:proofErr w:type="spellEnd"/>
            <w:r>
              <w:t xml:space="preserve"> s. 3(1) </w:t>
            </w:r>
            <w:proofErr w:type="spellStart"/>
            <w:r>
              <w:t>Akta</w:t>
            </w:r>
            <w:proofErr w:type="spellEnd"/>
            <w:r>
              <w:t xml:space="preserve"> </w:t>
            </w:r>
            <w:proofErr w:type="spellStart"/>
            <w:r>
              <w:t>Dadah</w:t>
            </w:r>
            <w:proofErr w:type="spellEnd"/>
            <w:r>
              <w:t xml:space="preserve"> </w:t>
            </w:r>
            <w:proofErr w:type="spellStart"/>
            <w:r>
              <w:t>Berbahaya</w:t>
            </w:r>
            <w:proofErr w:type="spellEnd"/>
            <w:r>
              <w:t xml:space="preserve"> (</w:t>
            </w:r>
            <w:proofErr w:type="spellStart"/>
            <w:r>
              <w:t>Langkah-langkah</w:t>
            </w:r>
            <w:proofErr w:type="spellEnd"/>
            <w:r>
              <w:t xml:space="preserve"> </w:t>
            </w:r>
            <w:proofErr w:type="spellStart"/>
            <w:r>
              <w:t>Pencegahan</w:t>
            </w:r>
            <w:proofErr w:type="spellEnd"/>
            <w:r>
              <w:t xml:space="preserve"> </w:t>
            </w:r>
            <w:proofErr w:type="spellStart"/>
            <w:r>
              <w:t>Khas</w:t>
            </w:r>
            <w:proofErr w:type="spellEnd"/>
            <w:r>
              <w:t xml:space="preserve">) 1985. </w:t>
            </w:r>
            <w:proofErr w:type="spellStart"/>
            <w:r>
              <w:t>Pada</w:t>
            </w:r>
            <w:proofErr w:type="spellEnd"/>
            <w:r>
              <w:t xml:space="preserve"> 16 Mac 1989 </w:t>
            </w:r>
            <w:proofErr w:type="spellStart"/>
            <w:r>
              <w:t>Timbalan</w:t>
            </w:r>
            <w:proofErr w:type="spellEnd"/>
            <w:r>
              <w:t xml:space="preserve"> </w:t>
            </w:r>
            <w:proofErr w:type="spellStart"/>
            <w:r>
              <w:t>Menteri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Negeri</w:t>
            </w:r>
            <w:proofErr w:type="spellEnd"/>
            <w:r>
              <w:t xml:space="preserve"> </w:t>
            </w:r>
            <w:proofErr w:type="spellStart"/>
            <w:r>
              <w:t>mengeluarkan</w:t>
            </w:r>
            <w:proofErr w:type="spellEnd"/>
            <w:r>
              <w:t xml:space="preserve"> </w:t>
            </w:r>
            <w:proofErr w:type="spellStart"/>
            <w:r>
              <w:t>perintah</w:t>
            </w:r>
            <w:proofErr w:type="spellEnd"/>
            <w:r>
              <w:t xml:space="preserve"> </w:t>
            </w:r>
            <w:proofErr w:type="spellStart"/>
            <w:r>
              <w:t>tahanan</w:t>
            </w:r>
            <w:proofErr w:type="spellEnd"/>
            <w:r>
              <w:t xml:space="preserve"> di </w:t>
            </w:r>
            <w:proofErr w:type="spellStart"/>
            <w:r>
              <w:t>bawah</w:t>
            </w:r>
            <w:proofErr w:type="spellEnd"/>
            <w:r>
              <w:t xml:space="preserve"> s. 6(1) </w:t>
            </w:r>
            <w:proofErr w:type="spellStart"/>
            <w:r>
              <w:t>Akta</w:t>
            </w:r>
            <w:proofErr w:type="spellEnd"/>
            <w:r>
              <w:t xml:space="preserve"> </w:t>
            </w:r>
            <w:proofErr w:type="spellStart"/>
            <w:r>
              <w:t>itu</w:t>
            </w:r>
            <w:proofErr w:type="spellEnd"/>
            <w:r>
              <w:t xml:space="preserve"> </w:t>
            </w:r>
            <w:proofErr w:type="spellStart"/>
            <w:r>
              <w:t>mengarahkan</w:t>
            </w:r>
            <w:proofErr w:type="spellEnd"/>
            <w:r>
              <w:t xml:space="preserve"> </w:t>
            </w:r>
            <w:proofErr w:type="spellStart"/>
            <w:r>
              <w:t>pemohon</w:t>
            </w:r>
            <w:proofErr w:type="spellEnd"/>
            <w:r>
              <w:t xml:space="preserve"> </w:t>
            </w:r>
            <w:proofErr w:type="spellStart"/>
            <w:r>
              <w:t>ditahan</w:t>
            </w:r>
            <w:proofErr w:type="spellEnd"/>
            <w:r>
              <w:t xml:space="preserve"> </w:t>
            </w:r>
            <w:proofErr w:type="spellStart"/>
            <w:r>
              <w:t>selama</w:t>
            </w:r>
            <w:proofErr w:type="spellEnd"/>
            <w:r>
              <w:t xml:space="preserve"> </w:t>
            </w:r>
            <w:proofErr w:type="spellStart"/>
            <w:r>
              <w:t>dua</w:t>
            </w:r>
            <w:proofErr w:type="spellEnd"/>
            <w:r>
              <w:t xml:space="preserve"> </w:t>
            </w:r>
            <w:proofErr w:type="spellStart"/>
            <w:r>
              <w:t>tahun</w:t>
            </w:r>
            <w:proofErr w:type="spellEnd"/>
            <w:r>
              <w:t xml:space="preserve"> </w:t>
            </w:r>
            <w:proofErr w:type="spellStart"/>
            <w:r>
              <w:t>mulai</w:t>
            </w:r>
            <w:proofErr w:type="spellEnd"/>
            <w:r>
              <w:t xml:space="preserve"> 17 Mac 1989.</w:t>
            </w:r>
          </w:p>
          <w:p w:rsidR="007C4F2E" w:rsidRDefault="00743C43">
            <w:pPr>
              <w:pStyle w:val="NormalWeb"/>
              <w:jc w:val="both"/>
            </w:pPr>
            <w:proofErr w:type="spellStart"/>
            <w:r>
              <w:t>Alasan</w:t>
            </w:r>
            <w:proofErr w:type="spellEnd"/>
            <w:r>
              <w:t xml:space="preserve"> </w:t>
            </w:r>
            <w:proofErr w:type="spellStart"/>
            <w:r>
              <w:t>pertama</w:t>
            </w:r>
            <w:proofErr w:type="spellEnd"/>
            <w:r>
              <w:t xml:space="preserve"> yang </w:t>
            </w:r>
            <w:proofErr w:type="spellStart"/>
            <w:r>
              <w:t>dikemukakan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</w:t>
            </w:r>
            <w:proofErr w:type="spellStart"/>
            <w:r>
              <w:t>Encik</w:t>
            </w:r>
            <w:proofErr w:type="spellEnd"/>
            <w:r>
              <w:t xml:space="preserve"> </w:t>
            </w:r>
            <w:proofErr w:type="spellStart"/>
            <w:r>
              <w:t>Karpal</w:t>
            </w:r>
            <w:proofErr w:type="spellEnd"/>
            <w:r>
              <w:t xml:space="preserve"> Singh </w:t>
            </w:r>
            <w:proofErr w:type="spellStart"/>
            <w:r>
              <w:t>ialah</w:t>
            </w:r>
            <w:proofErr w:type="spellEnd"/>
            <w:r>
              <w:t xml:space="preserve"> </w:t>
            </w:r>
            <w:proofErr w:type="spellStart"/>
            <w:r>
              <w:t>bahawa</w:t>
            </w:r>
            <w:proofErr w:type="spellEnd"/>
            <w:r>
              <w:t xml:space="preserve"> </w:t>
            </w:r>
            <w:proofErr w:type="spellStart"/>
            <w:r>
              <w:t>peruntukan</w:t>
            </w:r>
            <w:proofErr w:type="spellEnd"/>
            <w:r>
              <w:t xml:space="preserve"> s. 3(3) </w:t>
            </w:r>
            <w:proofErr w:type="spellStart"/>
            <w:r>
              <w:t>Akta</w:t>
            </w:r>
            <w:proofErr w:type="spellEnd"/>
            <w:r>
              <w:t xml:space="preserve"> </w:t>
            </w:r>
            <w:proofErr w:type="spellStart"/>
            <w:r>
              <w:t>itu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dipatuhi</w:t>
            </w:r>
            <w:proofErr w:type="spellEnd"/>
            <w:r>
              <w:t xml:space="preserve">. </w:t>
            </w:r>
            <w:proofErr w:type="spellStart"/>
            <w:r>
              <w:t>Seksyen</w:t>
            </w:r>
            <w:proofErr w:type="spellEnd"/>
            <w:r>
              <w:t xml:space="preserve"> 3(3) </w:t>
            </w:r>
            <w:proofErr w:type="spellStart"/>
            <w:r>
              <w:t>memperuntukkan</w:t>
            </w:r>
            <w:proofErr w:type="spellEnd"/>
            <w:r>
              <w:t>:</w:t>
            </w:r>
          </w:p>
          <w:p w:rsidR="007C4F2E" w:rsidRDefault="00743C43">
            <w:pPr>
              <w:pStyle w:val="NormalWeb"/>
              <w:jc w:val="both"/>
            </w:pPr>
            <w:r>
              <w:t xml:space="preserve">(3) </w:t>
            </w:r>
            <w:proofErr w:type="spellStart"/>
            <w:r>
              <w:t>Pegawai</w:t>
            </w:r>
            <w:proofErr w:type="spellEnd"/>
            <w:r>
              <w:t xml:space="preserve"> polis yang </w:t>
            </w:r>
            <w:proofErr w:type="spellStart"/>
            <w:r>
              <w:t>membuat</w:t>
            </w:r>
            <w:proofErr w:type="spellEnd"/>
            <w:r>
              <w:t xml:space="preserve"> </w:t>
            </w:r>
            <w:proofErr w:type="spellStart"/>
            <w:r>
              <w:t>penyiasatan</w:t>
            </w:r>
            <w:proofErr w:type="spellEnd"/>
            <w:r>
              <w:t xml:space="preserve"> </w:t>
            </w:r>
            <w:proofErr w:type="spellStart"/>
            <w:r>
              <w:t>berkaitan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seseorang</w:t>
            </w:r>
            <w:proofErr w:type="spellEnd"/>
            <w:r>
              <w:t xml:space="preserve"> yang </w:t>
            </w:r>
            <w:proofErr w:type="spellStart"/>
            <w:r>
              <w:t>ditangkap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ditahan</w:t>
            </w:r>
            <w:proofErr w:type="spellEnd"/>
            <w:r>
              <w:t xml:space="preserve"> di </w:t>
            </w:r>
            <w:proofErr w:type="spellStart"/>
            <w:r>
              <w:t>bawah</w:t>
            </w:r>
            <w:proofErr w:type="spellEnd"/>
            <w:r>
              <w:t xml:space="preserve"> </w:t>
            </w:r>
            <w:proofErr w:type="spellStart"/>
            <w:r>
              <w:t>seksyen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 xml:space="preserve"> </w:t>
            </w:r>
            <w:proofErr w:type="spellStart"/>
            <w:r>
              <w:t>hendaklah</w:t>
            </w:r>
            <w:proofErr w:type="spellEnd"/>
            <w:r>
              <w:t xml:space="preserve"> </w:t>
            </w:r>
            <w:proofErr w:type="spellStart"/>
            <w:r>
              <w:t>menyebabkan</w:t>
            </w:r>
            <w:proofErr w:type="spellEnd"/>
            <w:r>
              <w:t xml:space="preserve"> </w:t>
            </w:r>
            <w:proofErr w:type="spellStart"/>
            <w:r>
              <w:t>satu</w:t>
            </w:r>
            <w:proofErr w:type="spellEnd"/>
            <w:r>
              <w:t xml:space="preserve"> </w:t>
            </w:r>
            <w:proofErr w:type="spellStart"/>
            <w:r>
              <w:t>salinan</w:t>
            </w:r>
            <w:proofErr w:type="spellEnd"/>
            <w:r>
              <w:t xml:space="preserve"> </w:t>
            </w:r>
            <w:proofErr w:type="spellStart"/>
            <w:r>
              <w:t>laporan</w:t>
            </w:r>
            <w:proofErr w:type="spellEnd"/>
            <w:r>
              <w:t xml:space="preserve"> </w:t>
            </w:r>
            <w:proofErr w:type="spellStart"/>
            <w:r>
              <w:t>lengkap</w:t>
            </w:r>
            <w:proofErr w:type="spellEnd"/>
            <w:r>
              <w:t xml:space="preserve"> </w:t>
            </w:r>
            <w:proofErr w:type="spellStart"/>
            <w:r>
              <w:t>penyiasatan</w:t>
            </w:r>
            <w:proofErr w:type="spellEnd"/>
            <w:r>
              <w:t xml:space="preserve"> </w:t>
            </w:r>
            <w:proofErr w:type="spellStart"/>
            <w:r>
              <w:t>itu</w:t>
            </w:r>
            <w:proofErr w:type="spellEnd"/>
            <w:r>
              <w:t xml:space="preserve"> </w:t>
            </w:r>
            <w:proofErr w:type="spellStart"/>
            <w:r>
              <w:t>dikemukakan</w:t>
            </w:r>
            <w:proofErr w:type="spellEnd"/>
            <w:r>
              <w:t>:</w:t>
            </w:r>
          </w:p>
          <w:p w:rsidR="007C4F2E" w:rsidRDefault="00743C43">
            <w:pPr>
              <w:pStyle w:val="NormalWeb"/>
              <w:jc w:val="both"/>
              <w:divId w:val="1347170206"/>
            </w:pPr>
            <w:r>
              <w:t xml:space="preserve">(a) </w:t>
            </w:r>
            <w:proofErr w:type="spellStart"/>
            <w:r>
              <w:t>kepada</w:t>
            </w:r>
            <w:proofErr w:type="spellEnd"/>
            <w:r>
              <w:t xml:space="preserve"> </w:t>
            </w:r>
            <w:proofErr w:type="spellStart"/>
            <w:r>
              <w:t>seseorang</w:t>
            </w:r>
            <w:proofErr w:type="spellEnd"/>
            <w:r>
              <w:t xml:space="preserve"> </w:t>
            </w:r>
            <w:proofErr w:type="spellStart"/>
            <w:r>
              <w:t>pegawai</w:t>
            </w:r>
            <w:proofErr w:type="spellEnd"/>
            <w:r>
              <w:t xml:space="preserve"> </w:t>
            </w:r>
            <w:proofErr w:type="spellStart"/>
            <w:r>
              <w:t>siasatan</w:t>
            </w:r>
            <w:proofErr w:type="spellEnd"/>
            <w:r>
              <w:t xml:space="preserve"> yang </w:t>
            </w:r>
            <w:proofErr w:type="spellStart"/>
            <w:r>
              <w:t>dilantik</w:t>
            </w:r>
            <w:proofErr w:type="spellEnd"/>
            <w:r>
              <w:t xml:space="preserve"> di </w:t>
            </w:r>
            <w:proofErr w:type="spellStart"/>
            <w:r>
              <w:t>bawah</w:t>
            </w:r>
            <w:proofErr w:type="spellEnd"/>
            <w:r>
              <w:t xml:space="preserve"> subs.(1) s. 5; </w:t>
            </w:r>
            <w:proofErr w:type="spellStart"/>
            <w:r>
              <w:t>dan</w:t>
            </w:r>
            <w:proofErr w:type="spellEnd"/>
          </w:p>
          <w:p w:rsidR="007C4F2E" w:rsidRDefault="00743C43">
            <w:pPr>
              <w:pStyle w:val="NormalWeb"/>
              <w:jc w:val="both"/>
              <w:divId w:val="1347170206"/>
            </w:pPr>
            <w:r>
              <w:t xml:space="preserve">(b) </w:t>
            </w:r>
            <w:proofErr w:type="spellStart"/>
            <w:r>
              <w:t>kepada</w:t>
            </w:r>
            <w:proofErr w:type="spellEnd"/>
            <w:r>
              <w:t xml:space="preserve"> </w:t>
            </w:r>
            <w:proofErr w:type="spellStart"/>
            <w:r>
              <w:t>Menteri</w:t>
            </w:r>
            <w:proofErr w:type="spellEnd"/>
            <w:r>
              <w:t>,</w:t>
            </w:r>
          </w:p>
          <w:p w:rsidR="007C4F2E" w:rsidRDefault="00743C43">
            <w:pPr>
              <w:pStyle w:val="NormalWeb"/>
              <w:jc w:val="both"/>
            </w:pPr>
            <w:proofErr w:type="spellStart"/>
            <w:proofErr w:type="gramStart"/>
            <w:r>
              <w:t>dalam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tempoh</w:t>
            </w:r>
            <w:proofErr w:type="spellEnd"/>
            <w:r>
              <w:t xml:space="preserve"> yang </w:t>
            </w:r>
            <w:proofErr w:type="spellStart"/>
            <w:r>
              <w:t>boleh</w:t>
            </w:r>
            <w:proofErr w:type="spellEnd"/>
            <w:r>
              <w:t xml:space="preserve"> </w:t>
            </w:r>
            <w:proofErr w:type="spellStart"/>
            <w:r>
              <w:t>ditetapkan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</w:t>
            </w:r>
            <w:proofErr w:type="spellStart"/>
            <w:r>
              <w:t>Menteri</w:t>
            </w:r>
            <w:proofErr w:type="spellEnd"/>
            <w:r>
              <w:t xml:space="preserve"> </w:t>
            </w:r>
            <w:proofErr w:type="spellStart"/>
            <w:r>
              <w:t>melalui</w:t>
            </w:r>
            <w:proofErr w:type="spellEnd"/>
            <w:r>
              <w:t xml:space="preserve"> </w:t>
            </w:r>
            <w:proofErr w:type="spellStart"/>
            <w:r>
              <w:t>peraturan-peraturan</w:t>
            </w:r>
            <w:proofErr w:type="spellEnd"/>
            <w:r>
              <w:t xml:space="preserve"> yang </w:t>
            </w:r>
            <w:proofErr w:type="spellStart"/>
            <w:r>
              <w:t>dibuat</w:t>
            </w:r>
            <w:proofErr w:type="spellEnd"/>
            <w:r>
              <w:t xml:space="preserve"> di </w:t>
            </w:r>
            <w:proofErr w:type="spellStart"/>
            <w:r>
              <w:t>bawah</w:t>
            </w:r>
            <w:proofErr w:type="spellEnd"/>
            <w:r>
              <w:t xml:space="preserve"> </w:t>
            </w:r>
            <w:proofErr w:type="spellStart"/>
            <w:r>
              <w:t>Akta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>.</w:t>
            </w:r>
          </w:p>
          <w:p w:rsidR="007C4F2E" w:rsidRDefault="00743C43">
            <w:pPr>
              <w:pStyle w:val="NormalWeb"/>
              <w:jc w:val="both"/>
            </w:pPr>
            <w:proofErr w:type="spellStart"/>
            <w:r>
              <w:t>Sayugia</w:t>
            </w:r>
            <w:proofErr w:type="spellEnd"/>
            <w:r>
              <w:t xml:space="preserve"> </w:t>
            </w:r>
            <w:proofErr w:type="spellStart"/>
            <w:r>
              <w:t>diambil</w:t>
            </w:r>
            <w:proofErr w:type="spellEnd"/>
            <w:r>
              <w:t xml:space="preserve"> </w:t>
            </w:r>
            <w:proofErr w:type="spellStart"/>
            <w:r>
              <w:t>perhatian</w:t>
            </w:r>
            <w:proofErr w:type="spellEnd"/>
            <w:r>
              <w:t xml:space="preserve"> </w:t>
            </w:r>
            <w:proofErr w:type="spellStart"/>
            <w:r>
              <w:t>bahawa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kes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 xml:space="preserve"> </w:t>
            </w:r>
            <w:proofErr w:type="spellStart"/>
            <w:r>
              <w:t>Pesuruhjaya</w:t>
            </w:r>
            <w:proofErr w:type="spellEnd"/>
            <w:r>
              <w:t xml:space="preserve"> Polis </w:t>
            </w:r>
            <w:proofErr w:type="spellStart"/>
            <w:r>
              <w:t>Mohd</w:t>
            </w:r>
            <w:proofErr w:type="spellEnd"/>
            <w:r>
              <w:t xml:space="preserve">. </w:t>
            </w:r>
            <w:proofErr w:type="spellStart"/>
            <w:r>
              <w:t>Ghazali</w:t>
            </w:r>
            <w:proofErr w:type="spellEnd"/>
            <w:r>
              <w:t xml:space="preserve"> bin </w:t>
            </w:r>
            <w:proofErr w:type="spellStart"/>
            <w:r>
              <w:t>Yacub</w:t>
            </w:r>
            <w:proofErr w:type="spellEnd"/>
            <w:r>
              <w:t xml:space="preserve">, </w:t>
            </w:r>
            <w:proofErr w:type="spellStart"/>
            <w:r>
              <w:t>seorang</w:t>
            </w:r>
            <w:proofErr w:type="spellEnd"/>
            <w:r>
              <w:t xml:space="preserve"> </w:t>
            </w:r>
            <w:proofErr w:type="spellStart"/>
            <w:r>
              <w:t>pegawai</w:t>
            </w:r>
            <w:proofErr w:type="spellEnd"/>
            <w:r>
              <w:t xml:space="preserve"> polis yang </w:t>
            </w:r>
            <w:proofErr w:type="spellStart"/>
            <w:r>
              <w:t>ditetapkan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</w:t>
            </w:r>
            <w:proofErr w:type="spellStart"/>
            <w:r>
              <w:t>Ketua</w:t>
            </w:r>
            <w:proofErr w:type="spellEnd"/>
            <w:r>
              <w:t xml:space="preserve"> Polis Negara di </w:t>
            </w:r>
            <w:proofErr w:type="spellStart"/>
            <w:r>
              <w:t>bawah</w:t>
            </w:r>
            <w:proofErr w:type="spellEnd"/>
            <w:r>
              <w:t xml:space="preserve"> s. 3(2) </w:t>
            </w:r>
            <w:proofErr w:type="spellStart"/>
            <w:r>
              <w:t>Akta</w:t>
            </w:r>
            <w:proofErr w:type="spellEnd"/>
            <w:r>
              <w:t xml:space="preserve"> </w:t>
            </w:r>
            <w:proofErr w:type="spellStart"/>
            <w:r>
              <w:t>itu</w:t>
            </w:r>
            <w:proofErr w:type="spellEnd"/>
            <w:r>
              <w:t xml:space="preserve"> </w:t>
            </w:r>
            <w:proofErr w:type="spellStart"/>
            <w:r>
              <w:t>mengatakan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afidavitnya</w:t>
            </w:r>
            <w:proofErr w:type="spellEnd"/>
            <w:r>
              <w:t xml:space="preserve"> </w:t>
            </w:r>
            <w:proofErr w:type="spellStart"/>
            <w:r>
              <w:t>bahawa</w:t>
            </w:r>
            <w:proofErr w:type="spellEnd"/>
            <w:r>
              <w:t xml:space="preserve"> </w:t>
            </w:r>
            <w:proofErr w:type="spellStart"/>
            <w:r>
              <w:t>satu</w:t>
            </w:r>
            <w:proofErr w:type="spellEnd"/>
            <w:r>
              <w:t xml:space="preserve"> "</w:t>
            </w:r>
            <w:proofErr w:type="spellStart"/>
            <w:r>
              <w:t>laporan</w:t>
            </w:r>
            <w:proofErr w:type="spellEnd"/>
            <w:r>
              <w:t xml:space="preserve"> </w:t>
            </w:r>
            <w:proofErr w:type="spellStart"/>
            <w:r>
              <w:t>penuh</w:t>
            </w:r>
            <w:proofErr w:type="spellEnd"/>
            <w:r>
              <w:t xml:space="preserve"> </w:t>
            </w:r>
            <w:proofErr w:type="spellStart"/>
            <w:r>
              <w:t>siasatan</w:t>
            </w:r>
            <w:proofErr w:type="spellEnd"/>
            <w:r>
              <w:t xml:space="preserve">" </w:t>
            </w:r>
            <w:proofErr w:type="spellStart"/>
            <w:r>
              <w:t>telah</w:t>
            </w:r>
            <w:proofErr w:type="spellEnd"/>
            <w:r>
              <w:t xml:space="preserve"> </w:t>
            </w:r>
            <w:proofErr w:type="spellStart"/>
            <w:r>
              <w:t>dikemukakan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</w:t>
            </w:r>
            <w:proofErr w:type="spellStart"/>
            <w:r>
              <w:t>pegawai</w:t>
            </w:r>
            <w:proofErr w:type="spellEnd"/>
            <w:r>
              <w:t xml:space="preserve"> </w:t>
            </w:r>
            <w:proofErr w:type="spellStart"/>
            <w:r>
              <w:t>siasatan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"</w:t>
            </w:r>
            <w:proofErr w:type="spellStart"/>
            <w:r>
              <w:t>kepada</w:t>
            </w:r>
            <w:proofErr w:type="spellEnd"/>
            <w:r>
              <w:t xml:space="preserve"> </w:t>
            </w:r>
            <w:proofErr w:type="spellStart"/>
            <w:r>
              <w:t>Kementerian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Negeri</w:t>
            </w:r>
            <w:proofErr w:type="spellEnd"/>
            <w:r>
              <w:t>."</w:t>
            </w:r>
          </w:p>
          <w:p w:rsidR="007C4F2E" w:rsidRDefault="00743C43">
            <w:pPr>
              <w:pStyle w:val="NormalWeb"/>
              <w:jc w:val="both"/>
            </w:pPr>
            <w:proofErr w:type="spellStart"/>
            <w:r>
              <w:t>Timbalan</w:t>
            </w:r>
            <w:proofErr w:type="spellEnd"/>
            <w:r>
              <w:t xml:space="preserve"> </w:t>
            </w:r>
            <w:proofErr w:type="spellStart"/>
            <w:r>
              <w:t>Menteri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memfail</w:t>
            </w:r>
            <w:proofErr w:type="spellEnd"/>
            <w:r>
              <w:t xml:space="preserve"> </w:t>
            </w:r>
            <w:proofErr w:type="spellStart"/>
            <w:r>
              <w:t>apa-apa</w:t>
            </w:r>
            <w:proofErr w:type="spellEnd"/>
            <w:r>
              <w:t xml:space="preserve"> </w:t>
            </w:r>
            <w:proofErr w:type="spellStart"/>
            <w:r>
              <w:t>afidavit</w:t>
            </w:r>
            <w:proofErr w:type="spellEnd"/>
            <w:r>
              <w:t>.</w:t>
            </w:r>
          </w:p>
          <w:p w:rsidR="007C4F2E" w:rsidRDefault="00743C43">
            <w:pPr>
              <w:pStyle w:val="NormalWeb"/>
              <w:jc w:val="both"/>
            </w:pPr>
            <w:proofErr w:type="spellStart"/>
            <w:r>
              <w:t>Encik</w:t>
            </w:r>
            <w:proofErr w:type="spellEnd"/>
            <w:r>
              <w:t xml:space="preserve"> </w:t>
            </w:r>
            <w:proofErr w:type="spellStart"/>
            <w:r>
              <w:t>Karpal</w:t>
            </w:r>
            <w:proofErr w:type="spellEnd"/>
            <w:r>
              <w:t xml:space="preserve"> Singh </w:t>
            </w:r>
            <w:proofErr w:type="spellStart"/>
            <w:r>
              <w:t>menghujahkan</w:t>
            </w:r>
            <w:proofErr w:type="spellEnd"/>
            <w:r>
              <w:t xml:space="preserve">, </w:t>
            </w:r>
            <w:proofErr w:type="spellStart"/>
            <w:r>
              <w:t>pertama</w:t>
            </w:r>
            <w:proofErr w:type="spellEnd"/>
            <w:r>
              <w:t xml:space="preserve">, </w:t>
            </w:r>
            <w:proofErr w:type="spellStart"/>
            <w:r>
              <w:t>laporan</w:t>
            </w:r>
            <w:proofErr w:type="spellEnd"/>
            <w:r>
              <w:t xml:space="preserve"> </w:t>
            </w:r>
            <w:proofErr w:type="spellStart"/>
            <w:r>
              <w:t>lengkap</w:t>
            </w:r>
            <w:proofErr w:type="spellEnd"/>
            <w:r>
              <w:t xml:space="preserve"> </w:t>
            </w:r>
            <w:proofErr w:type="spellStart"/>
            <w:r>
              <w:t>itu</w:t>
            </w:r>
            <w:proofErr w:type="spellEnd"/>
            <w:r>
              <w:t xml:space="preserve"> </w:t>
            </w:r>
            <w:proofErr w:type="spellStart"/>
            <w:r>
              <w:t>sepatutnya</w:t>
            </w:r>
            <w:proofErr w:type="spellEnd"/>
            <w:r>
              <w:t xml:space="preserve"> </w:t>
            </w:r>
            <w:proofErr w:type="spellStart"/>
            <w:r>
              <w:t>dikemukakan</w:t>
            </w:r>
            <w:proofErr w:type="spellEnd"/>
            <w:r>
              <w:t xml:space="preserve"> </w:t>
            </w:r>
            <w:proofErr w:type="spellStart"/>
            <w:r>
              <w:lastRenderedPageBreak/>
              <w:t>kepada</w:t>
            </w:r>
            <w:proofErr w:type="spellEnd"/>
            <w:r>
              <w:t xml:space="preserve"> </w:t>
            </w:r>
            <w:proofErr w:type="spellStart"/>
            <w:r>
              <w:t>Menteri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Negeri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bukan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</w:t>
            </w:r>
            <w:proofErr w:type="spellStart"/>
            <w:r>
              <w:t>Kementerian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Negeri</w:t>
            </w:r>
            <w:proofErr w:type="spellEnd"/>
            <w:r>
              <w:t xml:space="preserve">.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penghakiman</w:t>
            </w:r>
            <w:proofErr w:type="spellEnd"/>
            <w:r>
              <w:t xml:space="preserve"> </w:t>
            </w:r>
            <w:proofErr w:type="spellStart"/>
            <w:r>
              <w:t>saya</w:t>
            </w:r>
            <w:proofErr w:type="spellEnd"/>
            <w:r>
              <w:t xml:space="preserve"> </w:t>
            </w:r>
            <w:proofErr w:type="spellStart"/>
            <w:r>
              <w:t>alasan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berasas</w:t>
            </w:r>
            <w:proofErr w:type="spellEnd"/>
            <w:r>
              <w:t xml:space="preserve">. </w:t>
            </w:r>
            <w:proofErr w:type="spellStart"/>
            <w:r>
              <w:t>Sama</w:t>
            </w:r>
            <w:proofErr w:type="spellEnd"/>
            <w:r>
              <w:t xml:space="preserve"> </w:t>
            </w:r>
            <w:proofErr w:type="spellStart"/>
            <w:r>
              <w:t>ada</w:t>
            </w:r>
            <w:proofErr w:type="spellEnd"/>
            <w:r>
              <w:t xml:space="preserve"> </w:t>
            </w:r>
            <w:proofErr w:type="spellStart"/>
            <w:r>
              <w:t>afidavit</w:t>
            </w:r>
            <w:proofErr w:type="spellEnd"/>
            <w:r>
              <w:t xml:space="preserve"> </w:t>
            </w:r>
            <w:proofErr w:type="spellStart"/>
            <w:r>
              <w:t>itu</w:t>
            </w:r>
            <w:proofErr w:type="spellEnd"/>
            <w:r>
              <w:t xml:space="preserve"> </w:t>
            </w:r>
            <w:proofErr w:type="spellStart"/>
            <w:r>
              <w:t>menyebut</w:t>
            </w:r>
            <w:proofErr w:type="spellEnd"/>
            <w:r>
              <w:t xml:space="preserve"> </w:t>
            </w:r>
            <w:proofErr w:type="spellStart"/>
            <w:r>
              <w:t>laporan</w:t>
            </w:r>
            <w:proofErr w:type="spellEnd"/>
            <w:r>
              <w:t xml:space="preserve"> </w:t>
            </w:r>
            <w:proofErr w:type="spellStart"/>
            <w:r>
              <w:t>itu</w:t>
            </w:r>
            <w:proofErr w:type="spellEnd"/>
            <w:r>
              <w:t xml:space="preserve"> </w:t>
            </w:r>
            <w:proofErr w:type="spellStart"/>
            <w:r>
              <w:t>dihantar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</w:t>
            </w:r>
            <w:proofErr w:type="spellStart"/>
            <w:r>
              <w:t>Menteri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Negeri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</w:t>
            </w:r>
            <w:proofErr w:type="spellStart"/>
            <w:r>
              <w:t>Kementerian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Negeri</w:t>
            </w:r>
            <w:proofErr w:type="spellEnd"/>
            <w:r>
              <w:t xml:space="preserve">, </w:t>
            </w:r>
            <w:proofErr w:type="spellStart"/>
            <w:r>
              <w:t>akibatnya</w:t>
            </w:r>
            <w:proofErr w:type="spellEnd"/>
            <w:r>
              <w:t xml:space="preserve"> </w:t>
            </w:r>
            <w:proofErr w:type="spellStart"/>
            <w:r>
              <w:t>adalah</w:t>
            </w:r>
            <w:proofErr w:type="spellEnd"/>
            <w:r>
              <w:t xml:space="preserve"> </w:t>
            </w:r>
            <w:proofErr w:type="spellStart"/>
            <w:r>
              <w:t>sama</w:t>
            </w:r>
            <w:proofErr w:type="spellEnd"/>
            <w:r>
              <w:t xml:space="preserve"> </w:t>
            </w:r>
            <w:proofErr w:type="spellStart"/>
            <w:r>
              <w:t>sahaja</w:t>
            </w:r>
            <w:proofErr w:type="spellEnd"/>
            <w:r>
              <w:t>.</w:t>
            </w:r>
          </w:p>
          <w:p w:rsidR="007C4F2E" w:rsidRDefault="00743C43">
            <w:pPr>
              <w:pStyle w:val="NormalWeb"/>
              <w:jc w:val="both"/>
            </w:pPr>
            <w:proofErr w:type="spellStart"/>
            <w:r>
              <w:t>Kedua</w:t>
            </w:r>
            <w:proofErr w:type="spellEnd"/>
            <w:r>
              <w:t xml:space="preserve">, </w:t>
            </w:r>
            <w:proofErr w:type="spellStart"/>
            <w:r>
              <w:t>Encik</w:t>
            </w:r>
            <w:proofErr w:type="spellEnd"/>
            <w:r>
              <w:t xml:space="preserve"> </w:t>
            </w:r>
            <w:proofErr w:type="spellStart"/>
            <w:r>
              <w:t>Karpal</w:t>
            </w:r>
            <w:proofErr w:type="spellEnd"/>
            <w:r>
              <w:t xml:space="preserve"> Singh </w:t>
            </w:r>
            <w:proofErr w:type="spellStart"/>
            <w:r>
              <w:t>menghujahkan</w:t>
            </w:r>
            <w:proofErr w:type="spellEnd"/>
            <w:r>
              <w:t xml:space="preserve"> </w:t>
            </w:r>
            <w:proofErr w:type="spellStart"/>
            <w:r>
              <w:t>bahawa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ada</w:t>
            </w:r>
            <w:proofErr w:type="spellEnd"/>
            <w:r>
              <w:t xml:space="preserve"> </w:t>
            </w:r>
            <w:proofErr w:type="spellStart"/>
            <w:r>
              <w:t>afidavit</w:t>
            </w:r>
            <w:proofErr w:type="spellEnd"/>
            <w:r>
              <w:t xml:space="preserve"> </w:t>
            </w:r>
            <w:proofErr w:type="spellStart"/>
            <w:r>
              <w:t>difailkan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</w:t>
            </w:r>
            <w:proofErr w:type="spellStart"/>
            <w:r>
              <w:t>pegawai</w:t>
            </w:r>
            <w:proofErr w:type="spellEnd"/>
            <w:r>
              <w:t xml:space="preserve"> yang </w:t>
            </w:r>
            <w:proofErr w:type="spellStart"/>
            <w:r>
              <w:t>membuat</w:t>
            </w:r>
            <w:proofErr w:type="spellEnd"/>
            <w:r>
              <w:t xml:space="preserve"> </w:t>
            </w:r>
            <w:proofErr w:type="spellStart"/>
            <w:r>
              <w:t>penyiasatan</w:t>
            </w:r>
            <w:proofErr w:type="spellEnd"/>
            <w:r>
              <w:t xml:space="preserve"> </w:t>
            </w:r>
            <w:proofErr w:type="spellStart"/>
            <w:r>
              <w:t>bahawa</w:t>
            </w:r>
            <w:proofErr w:type="spellEnd"/>
            <w:r>
              <w:t xml:space="preserve"> </w:t>
            </w:r>
            <w:proofErr w:type="spellStart"/>
            <w:r>
              <w:t>beliau</w:t>
            </w:r>
            <w:proofErr w:type="spellEnd"/>
            <w:r>
              <w:t xml:space="preserve"> </w:t>
            </w:r>
            <w:proofErr w:type="spellStart"/>
            <w:r>
              <w:t>menyebabkan</w:t>
            </w:r>
            <w:proofErr w:type="spellEnd"/>
            <w:r>
              <w:t xml:space="preserve"> </w:t>
            </w:r>
            <w:proofErr w:type="spellStart"/>
            <w:r>
              <w:t>satu</w:t>
            </w:r>
            <w:proofErr w:type="spellEnd"/>
            <w:r>
              <w:t xml:space="preserve"> </w:t>
            </w:r>
            <w:proofErr w:type="spellStart"/>
            <w:r>
              <w:t>salinan</w:t>
            </w:r>
            <w:proofErr w:type="spellEnd"/>
            <w:r>
              <w:t xml:space="preserve"> </w:t>
            </w:r>
            <w:proofErr w:type="spellStart"/>
            <w:r>
              <w:t>laporan</w:t>
            </w:r>
            <w:proofErr w:type="spellEnd"/>
            <w:r>
              <w:t xml:space="preserve"> </w:t>
            </w:r>
            <w:proofErr w:type="spellStart"/>
            <w:r>
              <w:t>lengkap</w:t>
            </w:r>
            <w:proofErr w:type="spellEnd"/>
            <w:r>
              <w:t xml:space="preserve"> </w:t>
            </w:r>
            <w:proofErr w:type="spellStart"/>
            <w:r>
              <w:t>penyiasatan</w:t>
            </w:r>
            <w:proofErr w:type="spellEnd"/>
            <w:r>
              <w:t xml:space="preserve"> </w:t>
            </w:r>
            <w:proofErr w:type="spellStart"/>
            <w:r>
              <w:t>dikemukakan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</w:t>
            </w:r>
            <w:proofErr w:type="spellStart"/>
            <w:r>
              <w:t>pegawai</w:t>
            </w:r>
            <w:proofErr w:type="spellEnd"/>
            <w:r>
              <w:t xml:space="preserve"> </w:t>
            </w:r>
            <w:proofErr w:type="spellStart"/>
            <w:r>
              <w:t>siasatan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</w:t>
            </w:r>
            <w:proofErr w:type="spellStart"/>
            <w:r>
              <w:t>Menteri</w:t>
            </w:r>
            <w:proofErr w:type="spellEnd"/>
            <w:r>
              <w:t>.</w:t>
            </w:r>
          </w:p>
          <w:p w:rsidR="007C4F2E" w:rsidRDefault="00743C43">
            <w:pPr>
              <w:pStyle w:val="NormalWeb"/>
              <w:jc w:val="both"/>
            </w:pPr>
            <w:proofErr w:type="spellStart"/>
            <w:r>
              <w:t>Sayugia</w:t>
            </w:r>
            <w:proofErr w:type="spellEnd"/>
            <w:r>
              <w:t xml:space="preserve"> </w:t>
            </w:r>
            <w:proofErr w:type="spellStart"/>
            <w:r>
              <w:t>diingat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kes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 xml:space="preserve">, </w:t>
            </w:r>
            <w:proofErr w:type="spellStart"/>
            <w:r>
              <w:t>Pesuruhjaya</w:t>
            </w:r>
            <w:proofErr w:type="spellEnd"/>
            <w:r>
              <w:t xml:space="preserve"> Polis </w:t>
            </w:r>
            <w:proofErr w:type="spellStart"/>
            <w:r>
              <w:t>Mohd</w:t>
            </w:r>
            <w:proofErr w:type="spellEnd"/>
            <w:r>
              <w:t xml:space="preserve">. </w:t>
            </w:r>
            <w:proofErr w:type="spellStart"/>
            <w:r>
              <w:t>Ghazali</w:t>
            </w:r>
            <w:proofErr w:type="spellEnd"/>
            <w:r>
              <w:t xml:space="preserve"> bin </w:t>
            </w:r>
            <w:proofErr w:type="spellStart"/>
            <w:r>
              <w:t>Yacub</w:t>
            </w:r>
            <w:proofErr w:type="spellEnd"/>
            <w:r>
              <w:t xml:space="preserve"> </w:t>
            </w:r>
            <w:proofErr w:type="spellStart"/>
            <w:r>
              <w:t>memfail</w:t>
            </w:r>
            <w:proofErr w:type="spellEnd"/>
            <w:r>
              <w:t xml:space="preserve"> </w:t>
            </w:r>
            <w:proofErr w:type="spellStart"/>
            <w:r>
              <w:t>afidavit</w:t>
            </w:r>
            <w:proofErr w:type="spellEnd"/>
            <w:r>
              <w:t xml:space="preserve"> </w:t>
            </w:r>
            <w:proofErr w:type="spellStart"/>
            <w:r>
              <w:t>mengatakan</w:t>
            </w:r>
            <w:proofErr w:type="spellEnd"/>
            <w:r>
              <w:t xml:space="preserve"> </w:t>
            </w:r>
            <w:proofErr w:type="spellStart"/>
            <w:r>
              <w:t>bahawa</w:t>
            </w:r>
            <w:proofErr w:type="spellEnd"/>
            <w:r>
              <w:t xml:space="preserve"> </w:t>
            </w:r>
            <w:proofErr w:type="spellStart"/>
            <w:r>
              <w:t>beliau</w:t>
            </w:r>
            <w:proofErr w:type="spellEnd"/>
            <w:r>
              <w:t xml:space="preserve"> </w:t>
            </w:r>
            <w:proofErr w:type="spellStart"/>
            <w:r>
              <w:t>telah</w:t>
            </w:r>
            <w:proofErr w:type="spellEnd"/>
            <w:r>
              <w:t xml:space="preserve"> </w:t>
            </w:r>
            <w:proofErr w:type="spellStart"/>
            <w:r>
              <w:t>mengemukakan</w:t>
            </w:r>
            <w:proofErr w:type="spellEnd"/>
            <w:r>
              <w:t xml:space="preserve"> </w:t>
            </w:r>
            <w:proofErr w:type="spellStart"/>
            <w:r>
              <w:t>satu</w:t>
            </w:r>
            <w:proofErr w:type="spellEnd"/>
            <w:r>
              <w:t xml:space="preserve"> </w:t>
            </w:r>
            <w:proofErr w:type="spellStart"/>
            <w:r>
              <w:t>laporan</w:t>
            </w:r>
            <w:proofErr w:type="spellEnd"/>
            <w:r>
              <w:t xml:space="preserve"> "</w:t>
            </w:r>
            <w:proofErr w:type="spellStart"/>
            <w:r>
              <w:t>penuh</w:t>
            </w:r>
            <w:proofErr w:type="spellEnd"/>
            <w:r>
              <w:t xml:space="preserve">" </w:t>
            </w:r>
            <w:proofErr w:type="spellStart"/>
            <w:r>
              <w:t>siasatan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</w:t>
            </w:r>
            <w:proofErr w:type="spellStart"/>
            <w:r>
              <w:t>Pegawai</w:t>
            </w:r>
            <w:proofErr w:type="spellEnd"/>
            <w:r>
              <w:t xml:space="preserve"> </w:t>
            </w:r>
            <w:proofErr w:type="spellStart"/>
            <w:r>
              <w:t>Siasatan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</w:t>
            </w:r>
            <w:proofErr w:type="spellStart"/>
            <w:r>
              <w:t>Kementerian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Negeri</w:t>
            </w:r>
            <w:proofErr w:type="spellEnd"/>
            <w:r>
              <w:t>.</w:t>
            </w:r>
          </w:p>
          <w:p w:rsidR="007C4F2E" w:rsidRDefault="00743C43">
            <w:pPr>
              <w:pStyle w:val="NormalWeb"/>
              <w:jc w:val="both"/>
            </w:pPr>
            <w:proofErr w:type="spellStart"/>
            <w:r>
              <w:t>Encik</w:t>
            </w:r>
            <w:proofErr w:type="spellEnd"/>
            <w:r>
              <w:t xml:space="preserve"> </w:t>
            </w:r>
            <w:proofErr w:type="spellStart"/>
            <w:r>
              <w:t>Karpal</w:t>
            </w:r>
            <w:proofErr w:type="spellEnd"/>
            <w:r>
              <w:t xml:space="preserve"> Singh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menafikan</w:t>
            </w:r>
            <w:proofErr w:type="spellEnd"/>
            <w:r>
              <w:t xml:space="preserve"> </w:t>
            </w:r>
            <w:proofErr w:type="spellStart"/>
            <w:r>
              <w:t>laporan</w:t>
            </w:r>
            <w:proofErr w:type="spellEnd"/>
            <w:r>
              <w:t xml:space="preserve"> </w:t>
            </w:r>
            <w:proofErr w:type="spellStart"/>
            <w:r>
              <w:t>itu</w:t>
            </w:r>
            <w:proofErr w:type="spellEnd"/>
            <w:r>
              <w:t xml:space="preserve"> </w:t>
            </w:r>
            <w:proofErr w:type="spellStart"/>
            <w:r>
              <w:t>dikemukakan</w:t>
            </w:r>
            <w:proofErr w:type="spellEnd"/>
            <w:r>
              <w:t xml:space="preserve">. </w:t>
            </w:r>
            <w:proofErr w:type="spellStart"/>
            <w:r>
              <w:t>Beliau</w:t>
            </w:r>
            <w:proofErr w:type="spellEnd"/>
            <w:r>
              <w:t xml:space="preserve"> </w:t>
            </w:r>
            <w:proofErr w:type="spellStart"/>
            <w:r>
              <w:t>cuma</w:t>
            </w:r>
            <w:proofErr w:type="spellEnd"/>
            <w:r>
              <w:t xml:space="preserve"> </w:t>
            </w:r>
            <w:proofErr w:type="spellStart"/>
            <w:r>
              <w:t>mengatakan</w:t>
            </w:r>
            <w:proofErr w:type="spellEnd"/>
            <w:r>
              <w:t xml:space="preserve"> </w:t>
            </w:r>
            <w:proofErr w:type="spellStart"/>
            <w:r>
              <w:t>bahawa</w:t>
            </w:r>
            <w:proofErr w:type="spellEnd"/>
            <w:r>
              <w:t xml:space="preserve"> s. 3(3) </w:t>
            </w:r>
            <w:proofErr w:type="spellStart"/>
            <w:r>
              <w:t>menghendaki</w:t>
            </w:r>
            <w:proofErr w:type="spellEnd"/>
            <w:r>
              <w:t xml:space="preserve"> </w:t>
            </w:r>
            <w:proofErr w:type="spellStart"/>
            <w:r>
              <w:t>pegawai</w:t>
            </w:r>
            <w:proofErr w:type="spellEnd"/>
            <w:r>
              <w:t xml:space="preserve"> yang </w:t>
            </w:r>
            <w:proofErr w:type="spellStart"/>
            <w:r>
              <w:t>membuat</w:t>
            </w:r>
            <w:proofErr w:type="spellEnd"/>
            <w:r>
              <w:t xml:space="preserve"> </w:t>
            </w:r>
            <w:proofErr w:type="spellStart"/>
            <w:r>
              <w:t>penyiasatan</w:t>
            </w:r>
            <w:proofErr w:type="spellEnd"/>
            <w:r>
              <w:t xml:space="preserve"> </w:t>
            </w:r>
            <w:proofErr w:type="spellStart"/>
            <w:r>
              <w:t>hendaklah</w:t>
            </w:r>
            <w:proofErr w:type="spellEnd"/>
            <w:r>
              <w:t xml:space="preserve"> </w:t>
            </w:r>
            <w:proofErr w:type="spellStart"/>
            <w:r>
              <w:t>menyebabkan</w:t>
            </w:r>
            <w:proofErr w:type="spellEnd"/>
            <w:r>
              <w:t xml:space="preserve"> </w:t>
            </w:r>
            <w:proofErr w:type="spellStart"/>
            <w:r>
              <w:t>satu</w:t>
            </w:r>
            <w:proofErr w:type="spellEnd"/>
            <w:r>
              <w:t xml:space="preserve"> </w:t>
            </w:r>
            <w:proofErr w:type="spellStart"/>
            <w:r>
              <w:t>salinan</w:t>
            </w:r>
            <w:proofErr w:type="spellEnd"/>
            <w:r>
              <w:t xml:space="preserve"> </w:t>
            </w:r>
            <w:proofErr w:type="spellStart"/>
            <w:r>
              <w:t>laporan</w:t>
            </w:r>
            <w:proofErr w:type="spellEnd"/>
            <w:r>
              <w:t xml:space="preserve"> </w:t>
            </w:r>
            <w:proofErr w:type="spellStart"/>
            <w:r>
              <w:t>itu</w:t>
            </w:r>
            <w:proofErr w:type="spellEnd"/>
            <w:r>
              <w:t xml:space="preserve"> </w:t>
            </w:r>
            <w:proofErr w:type="spellStart"/>
            <w:r>
              <w:t>dikemukakan</w:t>
            </w:r>
            <w:proofErr w:type="spellEnd"/>
            <w:r>
              <w:t xml:space="preserve">. </w:t>
            </w:r>
            <w:proofErr w:type="spellStart"/>
            <w:r>
              <w:t>Oleh</w:t>
            </w:r>
            <w:proofErr w:type="spellEnd"/>
            <w:r>
              <w:t xml:space="preserve"> </w:t>
            </w:r>
            <w:proofErr w:type="spellStart"/>
            <w:r>
              <w:t>itu</w:t>
            </w:r>
            <w:proofErr w:type="spellEnd"/>
            <w:r>
              <w:t xml:space="preserve"> </w:t>
            </w:r>
            <w:proofErr w:type="spellStart"/>
            <w:r>
              <w:t>pegawai</w:t>
            </w:r>
            <w:proofErr w:type="spellEnd"/>
            <w:r>
              <w:t xml:space="preserve"> </w:t>
            </w:r>
            <w:proofErr w:type="spellStart"/>
            <w:r>
              <w:t>itu</w:t>
            </w:r>
            <w:proofErr w:type="spellEnd"/>
            <w:r>
              <w:t xml:space="preserve"> </w:t>
            </w:r>
            <w:proofErr w:type="spellStart"/>
            <w:r>
              <w:t>hendaklah</w:t>
            </w:r>
            <w:proofErr w:type="spellEnd"/>
            <w:r>
              <w:t xml:space="preserve"> </w:t>
            </w:r>
            <w:proofErr w:type="spellStart"/>
            <w:r>
              <w:t>memfail</w:t>
            </w:r>
            <w:proofErr w:type="spellEnd"/>
            <w:r>
              <w:t xml:space="preserve"> </w:t>
            </w:r>
            <w:proofErr w:type="spellStart"/>
            <w:r>
              <w:t>afidavit</w:t>
            </w:r>
            <w:proofErr w:type="spellEnd"/>
            <w:r>
              <w:t xml:space="preserve"> </w:t>
            </w:r>
            <w:proofErr w:type="spellStart"/>
            <w:r>
              <w:t>mengatakan</w:t>
            </w:r>
            <w:proofErr w:type="spellEnd"/>
            <w:r>
              <w:t xml:space="preserve"> </w:t>
            </w:r>
            <w:proofErr w:type="spellStart"/>
            <w:r>
              <w:t>beliau</w:t>
            </w:r>
            <w:proofErr w:type="spellEnd"/>
            <w:r>
              <w:t xml:space="preserve"> </w:t>
            </w:r>
            <w:proofErr w:type="spellStart"/>
            <w:r>
              <w:t>menyebabkan</w:t>
            </w:r>
            <w:proofErr w:type="spellEnd"/>
            <w:r>
              <w:t xml:space="preserve"> </w:t>
            </w:r>
            <w:proofErr w:type="spellStart"/>
            <w:r>
              <w:t>ia</w:t>
            </w:r>
            <w:proofErr w:type="spellEnd"/>
            <w:r>
              <w:t xml:space="preserve"> </w:t>
            </w:r>
            <w:proofErr w:type="spellStart"/>
            <w:r>
              <w:t>dikemukakan</w:t>
            </w:r>
            <w:proofErr w:type="spellEnd"/>
            <w:r>
              <w:t>.</w:t>
            </w:r>
          </w:p>
          <w:p w:rsidR="007C4F2E" w:rsidRDefault="00743C43">
            <w:pPr>
              <w:pStyle w:val="NormalWeb"/>
              <w:jc w:val="both"/>
            </w:pPr>
            <w:proofErr w:type="spellStart"/>
            <w:r>
              <w:t>Pada</w:t>
            </w:r>
            <w:proofErr w:type="spellEnd"/>
            <w:r>
              <w:t xml:space="preserve"> </w:t>
            </w:r>
            <w:proofErr w:type="spellStart"/>
            <w:r>
              <w:t>pandangan</w:t>
            </w:r>
            <w:proofErr w:type="spellEnd"/>
            <w:r>
              <w:t xml:space="preserve"> </w:t>
            </w:r>
            <w:proofErr w:type="spellStart"/>
            <w:r>
              <w:t>saya</w:t>
            </w:r>
            <w:proofErr w:type="spellEnd"/>
            <w:r>
              <w:t xml:space="preserve"> </w:t>
            </w:r>
            <w:proofErr w:type="spellStart"/>
            <w:r>
              <w:t>hujah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 xml:space="preserve"> </w:t>
            </w:r>
            <w:proofErr w:type="spellStart"/>
            <w:r>
              <w:t>sangat</w:t>
            </w:r>
            <w:proofErr w:type="spellEnd"/>
            <w:r>
              <w:t xml:space="preserve"> </w:t>
            </w:r>
            <w:proofErr w:type="spellStart"/>
            <w:r>
              <w:t>remeh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berasas</w:t>
            </w:r>
            <w:proofErr w:type="spellEnd"/>
            <w:r>
              <w:t xml:space="preserve">. </w:t>
            </w:r>
            <w:proofErr w:type="spellStart"/>
            <w:r>
              <w:t>Apa</w:t>
            </w:r>
            <w:proofErr w:type="spellEnd"/>
            <w:r>
              <w:t xml:space="preserve"> yang </w:t>
            </w:r>
            <w:proofErr w:type="spellStart"/>
            <w:r>
              <w:t>penting</w:t>
            </w:r>
            <w:proofErr w:type="spellEnd"/>
            <w:r>
              <w:t xml:space="preserve"> </w:t>
            </w:r>
            <w:proofErr w:type="spellStart"/>
            <w:r>
              <w:t>ialah</w:t>
            </w:r>
            <w:proofErr w:type="spellEnd"/>
            <w:r>
              <w:t xml:space="preserve"> </w:t>
            </w:r>
            <w:proofErr w:type="spellStart"/>
            <w:r>
              <w:t>laporan</w:t>
            </w:r>
            <w:proofErr w:type="spellEnd"/>
            <w:r>
              <w:t xml:space="preserve"> </w:t>
            </w:r>
            <w:proofErr w:type="spellStart"/>
            <w:r>
              <w:t>itu</w:t>
            </w:r>
            <w:proofErr w:type="spellEnd"/>
            <w:r>
              <w:t xml:space="preserve"> </w:t>
            </w:r>
            <w:proofErr w:type="spellStart"/>
            <w:r>
              <w:t>hendaklah</w:t>
            </w:r>
            <w:proofErr w:type="spellEnd"/>
            <w:r>
              <w:t xml:space="preserve"> </w:t>
            </w:r>
            <w:proofErr w:type="spellStart"/>
            <w:r>
              <w:t>dikemukakan</w:t>
            </w:r>
            <w:proofErr w:type="spellEnd"/>
            <w:r>
              <w:t xml:space="preserve">. </w:t>
            </w:r>
            <w:proofErr w:type="spellStart"/>
            <w:r>
              <w:t>Ini</w:t>
            </w:r>
            <w:proofErr w:type="spellEnd"/>
            <w:r>
              <w:t xml:space="preserve"> </w:t>
            </w:r>
            <w:proofErr w:type="spellStart"/>
            <w:r>
              <w:t>dilakukan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PP </w:t>
            </w:r>
            <w:proofErr w:type="spellStart"/>
            <w:r>
              <w:t>Mohd</w:t>
            </w:r>
            <w:proofErr w:type="spellEnd"/>
            <w:r>
              <w:t xml:space="preserve">. </w:t>
            </w:r>
            <w:proofErr w:type="spellStart"/>
            <w:r>
              <w:t>Ghazali</w:t>
            </w:r>
            <w:proofErr w:type="spellEnd"/>
            <w:r>
              <w:t xml:space="preserve">.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penghakiman</w:t>
            </w:r>
            <w:proofErr w:type="spellEnd"/>
            <w:r>
              <w:t xml:space="preserve"> </w:t>
            </w:r>
            <w:proofErr w:type="spellStart"/>
            <w:r>
              <w:t>saya</w:t>
            </w:r>
            <w:proofErr w:type="spellEnd"/>
            <w:r>
              <w:t xml:space="preserve">, </w:t>
            </w:r>
            <w:proofErr w:type="spellStart"/>
            <w:r>
              <w:t>itu</w:t>
            </w:r>
            <w:proofErr w:type="spellEnd"/>
            <w:r>
              <w:t xml:space="preserve"> </w:t>
            </w:r>
            <w:proofErr w:type="spellStart"/>
            <w:r>
              <w:t>adalah</w:t>
            </w:r>
            <w:proofErr w:type="spellEnd"/>
            <w:r>
              <w:t xml:space="preserve"> </w:t>
            </w:r>
            <w:proofErr w:type="spellStart"/>
            <w:r>
              <w:t>memadai</w:t>
            </w:r>
            <w:proofErr w:type="spellEnd"/>
            <w:r>
              <w:t>.</w:t>
            </w:r>
          </w:p>
          <w:p w:rsidR="007C4F2E" w:rsidRDefault="00743C43">
            <w:pPr>
              <w:pStyle w:val="NormalWeb"/>
              <w:jc w:val="both"/>
            </w:pPr>
            <w:proofErr w:type="spellStart"/>
            <w:r>
              <w:t>Seterusnya</w:t>
            </w:r>
            <w:proofErr w:type="spellEnd"/>
            <w:r>
              <w:t xml:space="preserve"> </w:t>
            </w:r>
            <w:proofErr w:type="spellStart"/>
            <w:r>
              <w:t>Encik</w:t>
            </w:r>
            <w:proofErr w:type="spellEnd"/>
            <w:r>
              <w:t xml:space="preserve"> </w:t>
            </w:r>
            <w:proofErr w:type="spellStart"/>
            <w:r>
              <w:t>Karpal</w:t>
            </w:r>
            <w:proofErr w:type="spellEnd"/>
            <w:r>
              <w:t xml:space="preserve"> Singh </w:t>
            </w:r>
            <w:proofErr w:type="spellStart"/>
            <w:r>
              <w:t>menghujahkan</w:t>
            </w:r>
            <w:proofErr w:type="spellEnd"/>
            <w:r>
              <w:t xml:space="preserve"> </w:t>
            </w:r>
            <w:proofErr w:type="spellStart"/>
            <w:r>
              <w:t>bahawa</w:t>
            </w:r>
            <w:proofErr w:type="spellEnd"/>
            <w:r>
              <w:t xml:space="preserve"> </w:t>
            </w:r>
            <w:proofErr w:type="spellStart"/>
            <w:r>
              <w:t>peruntukan</w:t>
            </w:r>
            <w:proofErr w:type="spellEnd"/>
            <w:r>
              <w:t xml:space="preserve"> s. 9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dipatuhi</w:t>
            </w:r>
            <w:proofErr w:type="spellEnd"/>
            <w:r>
              <w:t xml:space="preserve"> </w:t>
            </w:r>
            <w:proofErr w:type="spellStart"/>
            <w:r>
              <w:t>kerana</w:t>
            </w:r>
            <w:proofErr w:type="spellEnd"/>
            <w:r>
              <w:t xml:space="preserve"> </w:t>
            </w:r>
            <w:proofErr w:type="spellStart"/>
            <w:r>
              <w:t>salinan</w:t>
            </w:r>
            <w:proofErr w:type="spellEnd"/>
            <w:r>
              <w:t xml:space="preserve"> </w:t>
            </w:r>
            <w:proofErr w:type="spellStart"/>
            <w:r>
              <w:t>perintah</w:t>
            </w:r>
            <w:proofErr w:type="spellEnd"/>
            <w:r>
              <w:t xml:space="preserve"> </w:t>
            </w:r>
            <w:proofErr w:type="spellStart"/>
            <w:r>
              <w:t>tahanan</w:t>
            </w:r>
            <w:proofErr w:type="spellEnd"/>
            <w:r>
              <w:t xml:space="preserve"> yang </w:t>
            </w:r>
            <w:proofErr w:type="spellStart"/>
            <w:r>
              <w:t>diserahkan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</w:t>
            </w:r>
            <w:proofErr w:type="spellStart"/>
            <w:r>
              <w:t>pemohon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ditandatangani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</w:t>
            </w:r>
            <w:proofErr w:type="spellStart"/>
            <w:r>
              <w:t>Timbalan</w:t>
            </w:r>
            <w:proofErr w:type="spellEnd"/>
            <w:r>
              <w:t xml:space="preserve"> </w:t>
            </w:r>
            <w:proofErr w:type="spellStart"/>
            <w:r>
              <w:t>Menteri</w:t>
            </w:r>
            <w:proofErr w:type="spellEnd"/>
            <w:r>
              <w:t>.</w:t>
            </w:r>
          </w:p>
          <w:p w:rsidR="007C4F2E" w:rsidRDefault="00743C43">
            <w:pPr>
              <w:pStyle w:val="NormalWeb"/>
              <w:jc w:val="both"/>
            </w:pPr>
            <w:proofErr w:type="spellStart"/>
            <w:r>
              <w:t>Seksyen</w:t>
            </w:r>
            <w:proofErr w:type="spellEnd"/>
            <w:r>
              <w:t xml:space="preserve"> 9(1) </w:t>
            </w:r>
            <w:proofErr w:type="spellStart"/>
            <w:r>
              <w:t>memperuntukkan</w:t>
            </w:r>
            <w:proofErr w:type="spellEnd"/>
            <w:r>
              <w:t>:</w:t>
            </w:r>
          </w:p>
          <w:p w:rsidR="007C4F2E" w:rsidRDefault="00743C43">
            <w:pPr>
              <w:pStyle w:val="NormalWeb"/>
              <w:jc w:val="both"/>
              <w:divId w:val="1221210833"/>
            </w:pPr>
            <w:proofErr w:type="gramStart"/>
            <w:r>
              <w:t>9.(</w:t>
            </w:r>
            <w:proofErr w:type="gramEnd"/>
            <w:r>
              <w:t xml:space="preserve">1) </w:t>
            </w:r>
            <w:proofErr w:type="spellStart"/>
            <w:r>
              <w:t>Satu</w:t>
            </w:r>
            <w:proofErr w:type="spellEnd"/>
            <w:r>
              <w:t xml:space="preserve"> </w:t>
            </w:r>
            <w:proofErr w:type="spellStart"/>
            <w:r>
              <w:t>salinan</w:t>
            </w:r>
            <w:proofErr w:type="spellEnd"/>
            <w:r>
              <w:t xml:space="preserve"> </w:t>
            </w:r>
            <w:proofErr w:type="spellStart"/>
            <w:r>
              <w:t>setiap</w:t>
            </w:r>
            <w:proofErr w:type="spellEnd"/>
            <w:r>
              <w:t xml:space="preserve"> </w:t>
            </w:r>
            <w:proofErr w:type="spellStart"/>
            <w:r>
              <w:t>perintah</w:t>
            </w:r>
            <w:proofErr w:type="spellEnd"/>
            <w:r>
              <w:t xml:space="preserve"> yang </w:t>
            </w:r>
            <w:proofErr w:type="spellStart"/>
            <w:r>
              <w:t>dibuat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</w:t>
            </w:r>
            <w:proofErr w:type="spellStart"/>
            <w:r>
              <w:t>Menteri</w:t>
            </w:r>
            <w:proofErr w:type="spellEnd"/>
            <w:r>
              <w:t xml:space="preserve"> di </w:t>
            </w:r>
            <w:proofErr w:type="spellStart"/>
            <w:r>
              <w:t>bawah</w:t>
            </w:r>
            <w:proofErr w:type="spellEnd"/>
            <w:r>
              <w:t xml:space="preserve"> subs. (1) s. 6 </w:t>
            </w:r>
            <w:proofErr w:type="spellStart"/>
            <w:r>
              <w:t>hendaklah</w:t>
            </w:r>
            <w:proofErr w:type="spellEnd"/>
            <w:r>
              <w:t xml:space="preserve"> </w:t>
            </w:r>
            <w:proofErr w:type="spellStart"/>
            <w:r>
              <w:t>disampaikan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orang yang </w:t>
            </w:r>
            <w:proofErr w:type="spellStart"/>
            <w:r>
              <w:t>kepadanya</w:t>
            </w:r>
            <w:proofErr w:type="spellEnd"/>
            <w:r>
              <w:t xml:space="preserve"> </w:t>
            </w:r>
            <w:proofErr w:type="spellStart"/>
            <w:r>
              <w:t>perintah</w:t>
            </w:r>
            <w:proofErr w:type="spellEnd"/>
            <w:r>
              <w:t xml:space="preserve"> </w:t>
            </w:r>
            <w:proofErr w:type="spellStart"/>
            <w:r>
              <w:t>itu</w:t>
            </w:r>
            <w:proofErr w:type="spellEnd"/>
            <w:r>
              <w:t xml:space="preserve"> </w:t>
            </w:r>
            <w:proofErr w:type="spellStart"/>
            <w:r>
              <w:t>berkaitan</w:t>
            </w:r>
            <w:proofErr w:type="spellEnd"/>
            <w:r>
              <w:t>.</w:t>
            </w:r>
          </w:p>
          <w:p w:rsidR="007C4F2E" w:rsidRDefault="00743C43">
            <w:pPr>
              <w:pStyle w:val="NormalWeb"/>
              <w:jc w:val="both"/>
            </w:pPr>
            <w:proofErr w:type="spellStart"/>
            <w:r>
              <w:t>Persoalan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 xml:space="preserve"> </w:t>
            </w:r>
            <w:proofErr w:type="spellStart"/>
            <w:r>
              <w:t>telah</w:t>
            </w:r>
            <w:proofErr w:type="spellEnd"/>
            <w:r>
              <w:t xml:space="preserve"> </w:t>
            </w:r>
            <w:proofErr w:type="spellStart"/>
            <w:r>
              <w:t>diputuskan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</w:t>
            </w:r>
            <w:proofErr w:type="spellStart"/>
            <w:r>
              <w:t>Eusoff</w:t>
            </w:r>
            <w:proofErr w:type="spellEnd"/>
            <w:r>
              <w:t xml:space="preserve"> Chin H.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kes</w:t>
            </w:r>
            <w:proofErr w:type="spellEnd"/>
            <w:r>
              <w:t xml:space="preserve"> </w:t>
            </w:r>
            <w:r>
              <w:rPr>
                <w:i/>
                <w:iCs/>
              </w:rPr>
              <w:t xml:space="preserve">Sam Choy v. </w:t>
            </w:r>
            <w:proofErr w:type="spellStart"/>
            <w:r>
              <w:rPr>
                <w:i/>
                <w:iCs/>
              </w:rPr>
              <w:t>Timbalan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Menteri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Dalam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Negeri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dan</w:t>
            </w:r>
            <w:proofErr w:type="spellEnd"/>
            <w:r>
              <w:rPr>
                <w:i/>
                <w:iCs/>
              </w:rPr>
              <w:t xml:space="preserve"> Lain-lain</w:t>
            </w:r>
            <w:r>
              <w:t xml:space="preserve"> </w:t>
            </w:r>
            <w:proofErr w:type="spellStart"/>
            <w:r>
              <w:t>Mahkamah</w:t>
            </w:r>
            <w:proofErr w:type="spellEnd"/>
            <w:r>
              <w:t xml:space="preserve"> </w:t>
            </w:r>
            <w:proofErr w:type="spellStart"/>
            <w:r>
              <w:t>Tinggi</w:t>
            </w:r>
            <w:proofErr w:type="spellEnd"/>
            <w:r>
              <w:t xml:space="preserve"> Kuala Lumpur, </w:t>
            </w:r>
            <w:proofErr w:type="spellStart"/>
            <w:r>
              <w:t>Saman</w:t>
            </w:r>
            <w:proofErr w:type="spellEnd"/>
            <w:r>
              <w:t xml:space="preserve"> </w:t>
            </w:r>
            <w:proofErr w:type="spellStart"/>
            <w:r>
              <w:t>Pemula</w:t>
            </w:r>
            <w:proofErr w:type="spellEnd"/>
            <w:r>
              <w:t xml:space="preserve"> No. R8-24-29-90 di </w:t>
            </w:r>
            <w:proofErr w:type="spellStart"/>
            <w:r>
              <w:t>mana</w:t>
            </w:r>
            <w:proofErr w:type="spellEnd"/>
            <w:r>
              <w:t xml:space="preserve"> Hakim Yang </w:t>
            </w:r>
            <w:proofErr w:type="spellStart"/>
            <w:r>
              <w:t>Arif</w:t>
            </w:r>
            <w:proofErr w:type="spellEnd"/>
            <w:r>
              <w:t xml:space="preserve"> </w:t>
            </w:r>
            <w:proofErr w:type="spellStart"/>
            <w:r>
              <w:t>itu</w:t>
            </w:r>
            <w:proofErr w:type="spellEnd"/>
            <w:r>
              <w:t xml:space="preserve"> </w:t>
            </w:r>
            <w:proofErr w:type="spellStart"/>
            <w:r>
              <w:t>mentafsirkan</w:t>
            </w:r>
            <w:proofErr w:type="spellEnd"/>
            <w:r>
              <w:t xml:space="preserve"> </w:t>
            </w:r>
            <w:proofErr w:type="spellStart"/>
            <w:r>
              <w:t>peruntukan</w:t>
            </w:r>
            <w:proofErr w:type="spellEnd"/>
            <w:r>
              <w:t xml:space="preserve"> s. 3(</w:t>
            </w:r>
            <w:proofErr w:type="spellStart"/>
            <w:r>
              <w:t>i</w:t>
            </w:r>
            <w:proofErr w:type="spellEnd"/>
            <w:r>
              <w:t xml:space="preserve">) </w:t>
            </w:r>
            <w:proofErr w:type="spellStart"/>
            <w:r>
              <w:t>Enakmen</w:t>
            </w:r>
            <w:proofErr w:type="spellEnd"/>
            <w:r>
              <w:t xml:space="preserve"> </w:t>
            </w:r>
            <w:proofErr w:type="spellStart"/>
            <w:r>
              <w:t>Kediaman</w:t>
            </w:r>
            <w:proofErr w:type="spellEnd"/>
            <w:r>
              <w:t xml:space="preserve"> </w:t>
            </w:r>
            <w:proofErr w:type="spellStart"/>
            <w:r>
              <w:t>Terhad</w:t>
            </w:r>
            <w:proofErr w:type="spellEnd"/>
            <w:r>
              <w:t xml:space="preserve"> (Bab 39)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memutuskan</w:t>
            </w:r>
            <w:proofErr w:type="spellEnd"/>
            <w:r>
              <w:t>:</w:t>
            </w:r>
          </w:p>
          <w:p w:rsidR="007C4F2E" w:rsidRDefault="00743C43">
            <w:pPr>
              <w:pStyle w:val="NormalWeb"/>
              <w:jc w:val="both"/>
            </w:pPr>
            <w:proofErr w:type="spellStart"/>
            <w:r>
              <w:t>Ternyatalah</w:t>
            </w:r>
            <w:proofErr w:type="spellEnd"/>
            <w:r>
              <w:t xml:space="preserve"> s. 3(</w:t>
            </w:r>
            <w:proofErr w:type="spellStart"/>
            <w:r>
              <w:t>i</w:t>
            </w:r>
            <w:proofErr w:type="spellEnd"/>
            <w:r>
              <w:t xml:space="preserve">) </w:t>
            </w:r>
            <w:proofErr w:type="spellStart"/>
            <w:r>
              <w:t>hanya</w:t>
            </w:r>
            <w:proofErr w:type="spellEnd"/>
            <w:r>
              <w:t xml:space="preserve"> </w:t>
            </w:r>
            <w:proofErr w:type="spellStart"/>
            <w:r>
              <w:t>menghendaki</w:t>
            </w:r>
            <w:proofErr w:type="spellEnd"/>
            <w:r>
              <w:t xml:space="preserve"> "a copy thereof"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bukannya</w:t>
            </w:r>
            <w:proofErr w:type="spellEnd"/>
            <w:r>
              <w:t xml:space="preserve"> "a signed copy thereof" </w:t>
            </w:r>
            <w:proofErr w:type="spellStart"/>
            <w:r>
              <w:t>diserahkan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</w:t>
            </w:r>
            <w:proofErr w:type="spellStart"/>
            <w:r>
              <w:t>plaintif</w:t>
            </w:r>
            <w:proofErr w:type="spellEnd"/>
            <w:r>
              <w:t>.</w:t>
            </w:r>
          </w:p>
          <w:p w:rsidR="007C4F2E" w:rsidRDefault="00743C43">
            <w:pPr>
              <w:pStyle w:val="NormalWeb"/>
              <w:jc w:val="both"/>
            </w:pPr>
            <w:proofErr w:type="spellStart"/>
            <w:r>
              <w:t>Pada</w:t>
            </w:r>
            <w:proofErr w:type="spellEnd"/>
            <w:r>
              <w:t xml:space="preserve"> </w:t>
            </w:r>
            <w:proofErr w:type="spellStart"/>
            <w:r>
              <w:t>pendapat</w:t>
            </w:r>
            <w:proofErr w:type="spellEnd"/>
            <w:r>
              <w:t xml:space="preserve"> </w:t>
            </w:r>
            <w:proofErr w:type="spellStart"/>
            <w:r>
              <w:t>saya</w:t>
            </w:r>
            <w:proofErr w:type="spellEnd"/>
            <w:r>
              <w:t xml:space="preserve">, </w:t>
            </w:r>
            <w:proofErr w:type="spellStart"/>
            <w:r>
              <w:t>prinsip</w:t>
            </w:r>
            <w:proofErr w:type="spellEnd"/>
            <w:r>
              <w:t xml:space="preserve"> yang </w:t>
            </w:r>
            <w:proofErr w:type="spellStart"/>
            <w:r>
              <w:t>sama</w:t>
            </w:r>
            <w:proofErr w:type="spellEnd"/>
            <w:r>
              <w:t xml:space="preserve"> </w:t>
            </w:r>
            <w:proofErr w:type="spellStart"/>
            <w:r>
              <w:t>boleh</w:t>
            </w:r>
            <w:proofErr w:type="spellEnd"/>
            <w:r>
              <w:t xml:space="preserve"> </w:t>
            </w:r>
            <w:proofErr w:type="spellStart"/>
            <w:r>
              <w:t>dipakai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kes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 xml:space="preserve">. </w:t>
            </w:r>
            <w:proofErr w:type="spellStart"/>
            <w:r>
              <w:t>Oleh</w:t>
            </w:r>
            <w:proofErr w:type="spellEnd"/>
            <w:r>
              <w:t xml:space="preserve"> </w:t>
            </w:r>
            <w:proofErr w:type="spellStart"/>
            <w:r>
              <w:t>itu</w:t>
            </w:r>
            <w:proofErr w:type="spellEnd"/>
            <w:r>
              <w:t xml:space="preserve"> </w:t>
            </w:r>
            <w:proofErr w:type="spellStart"/>
            <w:r>
              <w:t>saya</w:t>
            </w:r>
            <w:proofErr w:type="spellEnd"/>
            <w:r>
              <w:t xml:space="preserve"> </w:t>
            </w:r>
            <w:proofErr w:type="spellStart"/>
            <w:r>
              <w:t>berpendapat</w:t>
            </w:r>
            <w:proofErr w:type="spellEnd"/>
            <w:r>
              <w:t xml:space="preserve">, </w:t>
            </w:r>
            <w:proofErr w:type="spellStart"/>
            <w:r>
              <w:t>peruntukan</w:t>
            </w:r>
            <w:proofErr w:type="spellEnd"/>
            <w:r>
              <w:t xml:space="preserve"> s. 9(1) </w:t>
            </w:r>
            <w:proofErr w:type="spellStart"/>
            <w:r>
              <w:t>adalah</w:t>
            </w:r>
            <w:proofErr w:type="spellEnd"/>
            <w:r>
              <w:t xml:space="preserve"> </w:t>
            </w:r>
            <w:proofErr w:type="spellStart"/>
            <w:r>
              <w:t>dipatuhi</w:t>
            </w:r>
            <w:proofErr w:type="spellEnd"/>
            <w:r>
              <w:t xml:space="preserve"> </w:t>
            </w:r>
            <w:proofErr w:type="spellStart"/>
            <w:r>
              <w:t>walaupun</w:t>
            </w:r>
            <w:proofErr w:type="spellEnd"/>
            <w:r>
              <w:t xml:space="preserve"> </w:t>
            </w:r>
            <w:proofErr w:type="spellStart"/>
            <w:r>
              <w:t>salinan</w:t>
            </w:r>
            <w:proofErr w:type="spellEnd"/>
            <w:r>
              <w:t xml:space="preserve"> yang </w:t>
            </w:r>
            <w:proofErr w:type="spellStart"/>
            <w:r>
              <w:t>disampaikan</w:t>
            </w:r>
            <w:proofErr w:type="spellEnd"/>
            <w:r>
              <w:t xml:space="preserve"> </w:t>
            </w:r>
            <w:proofErr w:type="spellStart"/>
            <w:r>
              <w:t>itu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ditandatangani</w:t>
            </w:r>
            <w:proofErr w:type="spellEnd"/>
            <w:r>
              <w:t xml:space="preserve"> </w:t>
            </w:r>
            <w:proofErr w:type="spellStart"/>
            <w:r>
              <w:t>tetapi</w:t>
            </w:r>
            <w:proofErr w:type="spellEnd"/>
            <w:r>
              <w:t xml:space="preserve"> </w:t>
            </w:r>
            <w:proofErr w:type="spellStart"/>
            <w:r>
              <w:t>cuma</w:t>
            </w:r>
            <w:proofErr w:type="spellEnd"/>
            <w:r>
              <w:t xml:space="preserve"> </w:t>
            </w:r>
            <w:proofErr w:type="spellStart"/>
            <w:r>
              <w:t>dicop</w:t>
            </w:r>
            <w:proofErr w:type="spellEnd"/>
            <w:r>
              <w:t xml:space="preserve"> "T.T. </w:t>
            </w:r>
            <w:proofErr w:type="spellStart"/>
            <w:r>
              <w:t>Dato</w:t>
            </w:r>
            <w:proofErr w:type="spellEnd"/>
            <w:r>
              <w:t xml:space="preserve">' </w:t>
            </w:r>
            <w:proofErr w:type="spellStart"/>
            <w:r>
              <w:t>Megat</w:t>
            </w:r>
            <w:proofErr w:type="spellEnd"/>
            <w:r>
              <w:t xml:space="preserve"> </w:t>
            </w:r>
            <w:proofErr w:type="spellStart"/>
            <w:r>
              <w:t>Junid</w:t>
            </w:r>
            <w:proofErr w:type="spellEnd"/>
            <w:r>
              <w:t xml:space="preserve"> b. </w:t>
            </w:r>
            <w:proofErr w:type="spellStart"/>
            <w:r>
              <w:t>Megat</w:t>
            </w:r>
            <w:proofErr w:type="spellEnd"/>
            <w:r>
              <w:t xml:space="preserve"> </w:t>
            </w:r>
            <w:proofErr w:type="spellStart"/>
            <w:r>
              <w:t>Ayob</w:t>
            </w:r>
            <w:proofErr w:type="spellEnd"/>
            <w:r>
              <w:t xml:space="preserve">, </w:t>
            </w:r>
            <w:proofErr w:type="spellStart"/>
            <w:r>
              <w:t>Timbalan</w:t>
            </w:r>
            <w:proofErr w:type="spellEnd"/>
            <w:r>
              <w:t xml:space="preserve"> </w:t>
            </w:r>
            <w:proofErr w:type="spellStart"/>
            <w:r>
              <w:t>Menteri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Negeri</w:t>
            </w:r>
            <w:proofErr w:type="spellEnd"/>
            <w:r>
              <w:t>, Malaysia."</w:t>
            </w:r>
          </w:p>
          <w:p w:rsidR="007C4F2E" w:rsidRDefault="00743C43">
            <w:pPr>
              <w:pStyle w:val="NormalWeb"/>
              <w:jc w:val="both"/>
            </w:pPr>
            <w:proofErr w:type="spellStart"/>
            <w:r>
              <w:t>Permohonan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 xml:space="preserve"> </w:t>
            </w:r>
            <w:proofErr w:type="spellStart"/>
            <w:r>
              <w:t>ditolak</w:t>
            </w:r>
            <w:proofErr w:type="spellEnd"/>
            <w:r>
              <w:t>.</w:t>
            </w:r>
          </w:p>
          <w:p w:rsidR="00FA2BC9" w:rsidRDefault="00FA2BC9">
            <w:pPr>
              <w:jc w:val="both"/>
              <w:rPr>
                <w:rFonts w:eastAsia="Times New Roman"/>
              </w:rPr>
            </w:pPr>
          </w:p>
          <w:p w:rsidR="007C4F2E" w:rsidRDefault="00743C43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</w:tc>
      </w:tr>
      <w:tr w:rsidR="007C4F2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F2E" w:rsidRDefault="007C4F2E">
            <w:pPr>
              <w:rPr>
                <w:rFonts w:eastAsia="Times New Roman"/>
              </w:rPr>
            </w:pPr>
          </w:p>
        </w:tc>
        <w:bookmarkStart w:id="0" w:name="_GoBack"/>
        <w:bookmarkEnd w:id="0"/>
      </w:tr>
    </w:tbl>
    <w:p w:rsidR="007C4F2E" w:rsidRDefault="007C4F2E">
      <w:pPr>
        <w:jc w:val="center"/>
        <w:rPr>
          <w:rFonts w:eastAsia="Times New Roman"/>
          <w:vanish/>
        </w:rPr>
      </w:pPr>
    </w:p>
    <w:p w:rsidR="007C4F2E" w:rsidRDefault="00743C43">
      <w:pPr>
        <w:pStyle w:val="z-BottomofForm"/>
      </w:pPr>
      <w:r>
        <w:t>Bottom of Form</w:t>
      </w:r>
    </w:p>
    <w:sectPr w:rsidR="007C4F2E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BC9" w:rsidRDefault="00FA2BC9" w:rsidP="00FA2BC9">
      <w:r>
        <w:separator/>
      </w:r>
    </w:p>
  </w:endnote>
  <w:endnote w:type="continuationSeparator" w:id="0">
    <w:p w:rsidR="00FA2BC9" w:rsidRDefault="00FA2BC9" w:rsidP="00FA2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BC9" w:rsidRDefault="00FA2BC9" w:rsidP="00FA2BC9">
      <w:r>
        <w:separator/>
      </w:r>
    </w:p>
  </w:footnote>
  <w:footnote w:type="continuationSeparator" w:id="0">
    <w:p w:rsidR="00FA2BC9" w:rsidRDefault="00FA2BC9" w:rsidP="00FA2B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2378924"/>
      <w:docPartObj>
        <w:docPartGallery w:val="Page Numbers (Top of Page)"/>
        <w:docPartUnique/>
      </w:docPartObj>
    </w:sdtPr>
    <w:sdtEndPr>
      <w:rPr>
        <w:noProof/>
      </w:rPr>
    </w:sdtEndPr>
    <w:sdtContent>
      <w:p w:rsidR="00FA2BC9" w:rsidRDefault="00FA2BC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A2BC9" w:rsidRDefault="00FA2B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743C43"/>
    <w:rsid w:val="003129EF"/>
    <w:rsid w:val="00743C43"/>
    <w:rsid w:val="007C4F2E"/>
    <w:rsid w:val="00FA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xedheader">
    <w:name w:val="fixedheader"/>
    <w:basedOn w:val="Normal"/>
    <w:pPr>
      <w:spacing w:before="100" w:beforeAutospacing="1" w:after="100" w:afterAutospacing="1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eastAsiaTheme="minorEastAsia" w:hAnsi="Arial" w:cs="Arial"/>
      <w:vanish/>
      <w:sz w:val="16"/>
      <w:szCs w:val="16"/>
    </w:rPr>
  </w:style>
  <w:style w:type="character" w:customStyle="1" w:styleId="casetitle">
    <w:name w:val="casetitle"/>
    <w:basedOn w:val="DefaultParagraphFont"/>
  </w:style>
  <w:style w:type="character" w:customStyle="1" w:styleId="Title1">
    <w:name w:val="Title1"/>
    <w:basedOn w:val="DefaultParagraphFont"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casehighlight">
    <w:name w:val="casehighlight"/>
    <w:basedOn w:val="DefaultParagraphFont"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C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C43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2B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2BC9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A2B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2BC9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xedheader">
    <w:name w:val="fixedheader"/>
    <w:basedOn w:val="Normal"/>
    <w:pPr>
      <w:spacing w:before="100" w:beforeAutospacing="1" w:after="100" w:afterAutospacing="1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eastAsiaTheme="minorEastAsia" w:hAnsi="Arial" w:cs="Arial"/>
      <w:vanish/>
      <w:sz w:val="16"/>
      <w:szCs w:val="16"/>
    </w:rPr>
  </w:style>
  <w:style w:type="character" w:customStyle="1" w:styleId="casetitle">
    <w:name w:val="casetitle"/>
    <w:basedOn w:val="DefaultParagraphFont"/>
  </w:style>
  <w:style w:type="character" w:customStyle="1" w:styleId="Title1">
    <w:name w:val="Title1"/>
    <w:basedOn w:val="DefaultParagraphFont"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casehighlight">
    <w:name w:val="casehighlight"/>
    <w:basedOn w:val="DefaultParagraphFont"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C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C43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2B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2BC9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A2B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2BC9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35906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10833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0206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658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195967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4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image" Target="file:///C:\Users\Tun%20Abdul%20Hamid\Documents\JUDGMENTS%20REPORTED%20IN%20CLJ\images\ajax-loader_circle.gif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864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Case:[1991] 1 CLJ Rep 577</vt:lpstr>
    </vt:vector>
  </TitlesOfParts>
  <Company>Microsoft</Company>
  <LinksUpToDate>false</LinksUpToDate>
  <CharactersWithSpaces>6284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Case:[1991] 1 CLJ Rep 577</dc:title>
  <dc:creator>Tun Abdul Hamid</dc:creator>
  <cp:lastModifiedBy>Tun Abdul Hamid</cp:lastModifiedBy>
  <cp:revision>3</cp:revision>
  <dcterms:created xsi:type="dcterms:W3CDTF">2013-11-04T09:42:00Z</dcterms:created>
  <dcterms:modified xsi:type="dcterms:W3CDTF">2013-11-04T09:45:00Z</dcterms:modified>
</cp:coreProperties>
</file>